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03" w:rsidRPr="000E2699" w:rsidRDefault="00B72596">
      <w:pPr>
        <w:pStyle w:val="Header"/>
        <w:tabs>
          <w:tab w:val="clear" w:pos="4153"/>
          <w:tab w:val="clear" w:pos="8306"/>
        </w:tabs>
        <w:rPr>
          <w:rFonts w:ascii="Arial" w:hAnsi="Arial" w:cs="Arial"/>
          <w:b/>
          <w:lang w:val="en-US"/>
        </w:rPr>
      </w:pPr>
      <w:r w:rsidRPr="000E2699">
        <w:rPr>
          <w:rFonts w:ascii="Arial" w:hAnsi="Arial" w:cs="Arial"/>
          <w:noProof/>
          <w:lang w:val="hu-HU" w:eastAsia="hu-HU"/>
        </w:rPr>
        <mc:AlternateContent>
          <mc:Choice Requires="wps">
            <w:drawing>
              <wp:anchor distT="4294967295" distB="4294967295" distL="114300" distR="114300" simplePos="0" relativeHeight="251658240" behindDoc="0" locked="0" layoutInCell="0" allowOverlap="1" wp14:anchorId="5D6BF13C" wp14:editId="1112847C">
                <wp:simplePos x="0" y="0"/>
                <wp:positionH relativeFrom="margin">
                  <wp:posOffset>1000125</wp:posOffset>
                </wp:positionH>
                <wp:positionV relativeFrom="paragraph">
                  <wp:posOffset>200024</wp:posOffset>
                </wp:positionV>
                <wp:extent cx="9715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B11A" id="Line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8.75pt,15.75pt" to="15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6YGAIAADE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" o:allowincell="f">
                <w10:wrap anchorx="margin"/>
              </v:line>
            </w:pict>
          </mc:Fallback>
        </mc:AlternateContent>
      </w:r>
      <w:r w:rsidR="0065559A" w:rsidRPr="000E2699">
        <w:rPr>
          <w:rFonts w:ascii="Arial" w:hAnsi="Arial" w:cs="Arial"/>
          <w:noProof/>
          <w:lang w:val="hu-HU" w:eastAsia="hu-HU"/>
        </w:rPr>
        <w:drawing>
          <wp:anchor distT="0" distB="0" distL="114300" distR="114300" simplePos="0" relativeHeight="251659264" behindDoc="0" locked="0" layoutInCell="0" allowOverlap="1" wp14:anchorId="0E713BED" wp14:editId="2914B363">
            <wp:simplePos x="0" y="0"/>
            <wp:positionH relativeFrom="column">
              <wp:posOffset>152400</wp:posOffset>
            </wp:positionH>
            <wp:positionV relativeFrom="paragraph">
              <wp:posOffset>-43180</wp:posOffset>
            </wp:positionV>
            <wp:extent cx="828675" cy="457200"/>
            <wp:effectExtent l="0" t="0" r="9525" b="0"/>
            <wp:wrapTopAndBottom/>
            <wp:docPr id="3" name="Kép 5" descr="europ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europas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pic:spPr>
                </pic:pic>
              </a:graphicData>
            </a:graphic>
          </wp:anchor>
        </w:drawing>
      </w:r>
      <w:r w:rsidRPr="000E2699">
        <w:rPr>
          <w:rFonts w:ascii="Arial" w:hAnsi="Arial" w:cs="Arial"/>
          <w:noProof/>
          <w:lang w:val="hu-HU" w:eastAsia="hu-HU"/>
        </w:rPr>
        <mc:AlternateContent>
          <mc:Choice Requires="wps">
            <w:drawing>
              <wp:anchor distT="0" distB="0" distL="114300" distR="114300" simplePos="0" relativeHeight="251657216" behindDoc="0" locked="0" layoutInCell="0" allowOverlap="1" wp14:anchorId="1A32B0F6" wp14:editId="25BB9899">
                <wp:simplePos x="0" y="0"/>
                <wp:positionH relativeFrom="page">
                  <wp:posOffset>2335530</wp:posOffset>
                </wp:positionH>
                <wp:positionV relativeFrom="page">
                  <wp:posOffset>802640</wp:posOffset>
                </wp:positionV>
                <wp:extent cx="1905" cy="9256395"/>
                <wp:effectExtent l="0" t="0" r="36195" b="209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25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A6D0"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9pt,63.2pt" to="184.0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ITFQIAACs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" o:allowincell="f">
                <w10:wrap anchorx="page" anchory="page"/>
              </v:line>
            </w:pict>
          </mc:Fallback>
        </mc:AlternateContent>
      </w: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tabs>
                <w:tab w:val="left" w:pos="1168"/>
              </w:tabs>
              <w:jc w:val="right"/>
              <w:rPr>
                <w:rFonts w:ascii="Arial" w:hAnsi="Arial" w:cs="Arial"/>
                <w:b/>
                <w:spacing w:val="10"/>
                <w:sz w:val="28"/>
                <w:lang w:val="en-US"/>
              </w:rPr>
            </w:pPr>
            <w:r w:rsidRPr="000E2699">
              <w:rPr>
                <w:rFonts w:ascii="Arial" w:hAnsi="Arial" w:cs="Arial"/>
                <w:b/>
                <w:spacing w:val="10"/>
                <w:sz w:val="28"/>
                <w:lang w:val="en-US"/>
              </w:rPr>
              <w:t xml:space="preserve">                  </w:t>
            </w:r>
            <w:proofErr w:type="spellStart"/>
            <w:r w:rsidRPr="000E2699">
              <w:rPr>
                <w:rFonts w:ascii="Arial" w:hAnsi="Arial" w:cs="Arial"/>
                <w:b/>
                <w:spacing w:val="10"/>
                <w:sz w:val="28"/>
                <w:lang w:val="en-US"/>
              </w:rPr>
              <w:t>Europass</w:t>
            </w:r>
            <w:proofErr w:type="spellEnd"/>
            <w:r w:rsidRPr="000E2699">
              <w:rPr>
                <w:rFonts w:ascii="Arial" w:hAnsi="Arial" w:cs="Arial"/>
                <w:b/>
                <w:spacing w:val="10"/>
                <w:sz w:val="28"/>
                <w:lang w:val="en-US"/>
              </w:rPr>
              <w:t xml:space="preserve"> </w:t>
            </w:r>
          </w:p>
          <w:p w:rsidR="00106C03" w:rsidRPr="000E2699" w:rsidRDefault="00106C03">
            <w:pPr>
              <w:tabs>
                <w:tab w:val="left" w:pos="-817"/>
              </w:tabs>
              <w:jc w:val="right"/>
              <w:rPr>
                <w:rFonts w:ascii="Arial" w:hAnsi="Arial" w:cs="Arial"/>
                <w:b/>
                <w:spacing w:val="10"/>
                <w:sz w:val="28"/>
                <w:lang w:val="en-US"/>
              </w:rPr>
            </w:pPr>
            <w:r w:rsidRPr="000E2699">
              <w:rPr>
                <w:rFonts w:ascii="Arial" w:hAnsi="Arial" w:cs="Arial"/>
                <w:b/>
                <w:spacing w:val="10"/>
                <w:sz w:val="28"/>
                <w:lang w:val="en-US"/>
              </w:rPr>
              <w:t>curriculum vitae</w:t>
            </w:r>
          </w:p>
        </w:tc>
        <w:tc>
          <w:tcPr>
            <w:tcW w:w="284" w:type="dxa"/>
          </w:tcPr>
          <w:p w:rsidR="00106C03" w:rsidRPr="000E2699" w:rsidRDefault="00106C03">
            <w:pPr>
              <w:rPr>
                <w:rFonts w:ascii="Arial" w:hAnsi="Arial" w:cs="Arial"/>
                <w:b/>
                <w:lang w:val="en-US"/>
              </w:rPr>
            </w:pPr>
          </w:p>
        </w:tc>
        <w:tc>
          <w:tcPr>
            <w:tcW w:w="7512" w:type="dxa"/>
          </w:tcPr>
          <w:p w:rsidR="00106C03" w:rsidRPr="000E2699" w:rsidRDefault="00106C03">
            <w:pPr>
              <w:rPr>
                <w:rFonts w:ascii="Arial" w:hAnsi="Arial" w:cs="Arial"/>
                <w:b/>
                <w:lang w:val="en-US"/>
              </w:rPr>
            </w:pPr>
          </w:p>
        </w:tc>
      </w:tr>
    </w:tbl>
    <w:p w:rsidR="00106C03" w:rsidRPr="000E2699" w:rsidRDefault="00106C03">
      <w:pPr>
        <w:rPr>
          <w:rFonts w:ascii="Arial" w:hAnsi="Arial" w:cs="Arial"/>
          <w:b/>
          <w:lang w:val="en-US"/>
        </w:rPr>
      </w:pPr>
    </w:p>
    <w:tbl>
      <w:tblPr>
        <w:tblW w:w="0" w:type="auto"/>
        <w:tblInd w:w="108" w:type="dxa"/>
        <w:tblLayout w:type="fixed"/>
        <w:tblLook w:val="0000" w:firstRow="0" w:lastRow="0" w:firstColumn="0" w:lastColumn="0" w:noHBand="0" w:noVBand="0"/>
      </w:tblPr>
      <w:tblGrid>
        <w:gridCol w:w="2977"/>
      </w:tblGrid>
      <w:tr w:rsidR="00106C03" w:rsidRPr="000E2699">
        <w:tc>
          <w:tcPr>
            <w:tcW w:w="2977" w:type="dxa"/>
          </w:tcPr>
          <w:p w:rsidR="00106C03" w:rsidRPr="000E2699" w:rsidRDefault="00106C03">
            <w:pPr>
              <w:pStyle w:val="Heading1"/>
              <w:rPr>
                <w:rFonts w:ascii="Arial" w:hAnsi="Arial" w:cs="Arial"/>
                <w:b/>
                <w:sz w:val="24"/>
                <w:lang w:val="en-US"/>
              </w:rPr>
            </w:pPr>
            <w:r w:rsidRPr="000E2699">
              <w:rPr>
                <w:rFonts w:ascii="Arial" w:hAnsi="Arial" w:cs="Arial"/>
                <w:b/>
                <w:sz w:val="24"/>
                <w:lang w:val="en-US"/>
              </w:rPr>
              <w:t>Personal information</w:t>
            </w:r>
          </w:p>
        </w:tc>
      </w:tr>
    </w:tbl>
    <w:p w:rsidR="00106C03" w:rsidRPr="000E2699" w:rsidRDefault="00106C03">
      <w:pPr>
        <w:rPr>
          <w:rFonts w:ascii="Arial" w:hAnsi="Arial" w:cs="Arial"/>
          <w:b/>
          <w:sz w:val="10"/>
          <w:lang w:val="en-US"/>
        </w:rPr>
      </w:pPr>
    </w:p>
    <w:tbl>
      <w:tblPr>
        <w:tblW w:w="0" w:type="auto"/>
        <w:tblInd w:w="108" w:type="dxa"/>
        <w:tblLayout w:type="fixed"/>
        <w:tblLook w:val="0000" w:firstRow="0" w:lastRow="0" w:firstColumn="0" w:lastColumn="0" w:noHBand="0" w:noVBand="0"/>
      </w:tblPr>
      <w:tblGrid>
        <w:gridCol w:w="2977"/>
        <w:gridCol w:w="284"/>
        <w:gridCol w:w="3685"/>
        <w:gridCol w:w="3827"/>
      </w:tblGrid>
      <w:tr w:rsidR="00106C03" w:rsidRPr="000E2699">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Surname(s) / First name(s)</w:t>
            </w:r>
          </w:p>
        </w:tc>
        <w:tc>
          <w:tcPr>
            <w:tcW w:w="284" w:type="dxa"/>
          </w:tcPr>
          <w:p w:rsidR="00106C03" w:rsidRPr="000E2699" w:rsidRDefault="00106C03">
            <w:pPr>
              <w:pStyle w:val="Header"/>
              <w:tabs>
                <w:tab w:val="clear" w:pos="4153"/>
                <w:tab w:val="clear" w:pos="8306"/>
              </w:tabs>
              <w:rPr>
                <w:rFonts w:ascii="Arial" w:hAnsi="Arial" w:cs="Arial"/>
                <w:lang w:val="en-US"/>
              </w:rPr>
            </w:pPr>
          </w:p>
        </w:tc>
        <w:tc>
          <w:tcPr>
            <w:tcW w:w="7512" w:type="dxa"/>
            <w:gridSpan w:val="2"/>
          </w:tcPr>
          <w:p w:rsidR="00106C03" w:rsidRPr="000E2699" w:rsidRDefault="00106C03">
            <w:pPr>
              <w:pStyle w:val="Heading3"/>
              <w:spacing w:before="20" w:after="40"/>
              <w:rPr>
                <w:rFonts w:ascii="Arial" w:hAnsi="Arial" w:cs="Arial"/>
                <w:lang w:val="en-US"/>
              </w:rPr>
            </w:pPr>
            <w:r w:rsidRPr="000E2699">
              <w:rPr>
                <w:rFonts w:ascii="Arial" w:hAnsi="Arial" w:cs="Arial"/>
                <w:lang w:val="en-US"/>
              </w:rPr>
              <w:t>Radó Péter</w:t>
            </w:r>
          </w:p>
        </w:tc>
      </w:tr>
      <w:tr w:rsidR="00106C03" w:rsidRPr="000E2699">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Address(es)</w:t>
            </w:r>
          </w:p>
        </w:tc>
        <w:tc>
          <w:tcPr>
            <w:tcW w:w="284" w:type="dxa"/>
          </w:tcPr>
          <w:p w:rsidR="00106C03" w:rsidRPr="000E2699" w:rsidRDefault="00106C03">
            <w:pPr>
              <w:rPr>
                <w:rFonts w:ascii="Arial" w:hAnsi="Arial" w:cs="Arial"/>
                <w:lang w:val="en-US"/>
              </w:rPr>
            </w:pPr>
          </w:p>
        </w:tc>
        <w:tc>
          <w:tcPr>
            <w:tcW w:w="7512" w:type="dxa"/>
            <w:gridSpan w:val="2"/>
          </w:tcPr>
          <w:p w:rsidR="00106C03" w:rsidRPr="000E2699" w:rsidRDefault="00106C03">
            <w:pPr>
              <w:spacing w:before="40" w:after="40"/>
              <w:rPr>
                <w:rFonts w:ascii="Arial" w:hAnsi="Arial" w:cs="Arial"/>
                <w:sz w:val="22"/>
                <w:lang w:val="en-US"/>
              </w:rPr>
            </w:pPr>
            <w:r w:rsidRPr="000E2699">
              <w:rPr>
                <w:rFonts w:ascii="Arial" w:hAnsi="Arial" w:cs="Arial"/>
                <w:sz w:val="22"/>
                <w:lang w:val="en-US"/>
              </w:rPr>
              <w:t xml:space="preserve">22. </w:t>
            </w:r>
            <w:proofErr w:type="spellStart"/>
            <w:r w:rsidRPr="000E2699">
              <w:rPr>
                <w:rFonts w:ascii="Arial" w:hAnsi="Arial" w:cs="Arial"/>
                <w:sz w:val="22"/>
                <w:lang w:val="en-US"/>
              </w:rPr>
              <w:t>Stollar</w:t>
            </w:r>
            <w:proofErr w:type="spellEnd"/>
            <w:r w:rsidRPr="000E2699">
              <w:rPr>
                <w:rFonts w:ascii="Arial" w:hAnsi="Arial" w:cs="Arial"/>
                <w:sz w:val="22"/>
                <w:lang w:val="en-US"/>
              </w:rPr>
              <w:t xml:space="preserve"> Bela u. 1055. </w:t>
            </w:r>
            <w:smartTag w:uri="urn:schemas-microsoft-com:office:smarttags" w:element="City">
              <w:smartTag w:uri="urn:schemas-microsoft-com:office:smarttags" w:element="place">
                <w:smartTag w:uri="urn:schemas-microsoft-com:office:smarttags" w:element="City">
                  <w:r w:rsidRPr="000E2699">
                    <w:rPr>
                      <w:rFonts w:ascii="Arial" w:hAnsi="Arial" w:cs="Arial"/>
                      <w:sz w:val="22"/>
                      <w:lang w:val="en-US"/>
                    </w:rPr>
                    <w:t>Budapest</w:t>
                  </w:r>
                </w:smartTag>
                <w:r w:rsidRPr="000E2699">
                  <w:rPr>
                    <w:rFonts w:ascii="Arial" w:hAnsi="Arial" w:cs="Arial"/>
                    <w:sz w:val="22"/>
                    <w:lang w:val="en-US"/>
                  </w:rPr>
                  <w:t xml:space="preserve">, </w:t>
                </w:r>
                <w:smartTag w:uri="urn:schemas-microsoft-com:office:smarttags" w:element="country-region">
                  <w:r w:rsidRPr="000E2699">
                    <w:rPr>
                      <w:rFonts w:ascii="Arial" w:hAnsi="Arial" w:cs="Arial"/>
                      <w:sz w:val="22"/>
                      <w:lang w:val="en-US"/>
                    </w:rPr>
                    <w:t>Hungary</w:t>
                  </w:r>
                </w:smartTag>
              </w:smartTag>
            </w:smartTag>
            <w:r w:rsidRPr="000E2699">
              <w:rPr>
                <w:rFonts w:ascii="Arial" w:hAnsi="Arial" w:cs="Arial"/>
                <w:sz w:val="22"/>
                <w:lang w:val="en-US"/>
              </w:rPr>
              <w:t xml:space="preserve"> </w:t>
            </w:r>
          </w:p>
        </w:tc>
      </w:tr>
      <w:tr w:rsidR="00106C03" w:rsidRPr="000E2699">
        <w:trPr>
          <w:cantSplit/>
        </w:trPr>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Telephone(s)</w:t>
            </w:r>
          </w:p>
        </w:tc>
        <w:tc>
          <w:tcPr>
            <w:tcW w:w="284" w:type="dxa"/>
          </w:tcPr>
          <w:p w:rsidR="00106C03" w:rsidRPr="000E2699" w:rsidRDefault="00106C03">
            <w:pPr>
              <w:rPr>
                <w:rFonts w:ascii="Arial" w:hAnsi="Arial" w:cs="Arial"/>
                <w:lang w:val="en-US"/>
              </w:rPr>
            </w:pPr>
          </w:p>
        </w:tc>
        <w:tc>
          <w:tcPr>
            <w:tcW w:w="3685" w:type="dxa"/>
          </w:tcPr>
          <w:p w:rsidR="00106C03" w:rsidRPr="000E2699" w:rsidRDefault="00C81D95">
            <w:pPr>
              <w:spacing w:before="40" w:after="40"/>
              <w:rPr>
                <w:rFonts w:ascii="Arial" w:hAnsi="Arial" w:cs="Arial"/>
                <w:sz w:val="22"/>
                <w:lang w:val="en-US"/>
              </w:rPr>
            </w:pPr>
            <w:r w:rsidRPr="000E2699">
              <w:rPr>
                <w:rFonts w:ascii="Arial" w:hAnsi="Arial" w:cs="Arial"/>
                <w:sz w:val="22"/>
                <w:lang w:val="en-US"/>
              </w:rPr>
              <w:t>Mobile phone: (+36) 70-451-8811</w:t>
            </w:r>
          </w:p>
        </w:tc>
        <w:tc>
          <w:tcPr>
            <w:tcW w:w="3827" w:type="dxa"/>
          </w:tcPr>
          <w:p w:rsidR="00106C03" w:rsidRPr="000E2699" w:rsidRDefault="00106C03">
            <w:pPr>
              <w:spacing w:before="40" w:after="40"/>
              <w:ind w:right="-108"/>
              <w:rPr>
                <w:rFonts w:ascii="Arial" w:hAnsi="Arial" w:cs="Arial"/>
                <w:sz w:val="22"/>
                <w:lang w:val="en-US"/>
              </w:rPr>
            </w:pPr>
          </w:p>
        </w:tc>
      </w:tr>
      <w:tr w:rsidR="00106C03" w:rsidRPr="000E2699">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E-mail(s)</w:t>
            </w:r>
          </w:p>
        </w:tc>
        <w:tc>
          <w:tcPr>
            <w:tcW w:w="284" w:type="dxa"/>
          </w:tcPr>
          <w:p w:rsidR="00106C03" w:rsidRPr="000E2699" w:rsidRDefault="00106C03">
            <w:pPr>
              <w:rPr>
                <w:rFonts w:ascii="Arial" w:hAnsi="Arial" w:cs="Arial"/>
                <w:lang w:val="en-US"/>
              </w:rPr>
            </w:pPr>
          </w:p>
        </w:tc>
        <w:tc>
          <w:tcPr>
            <w:tcW w:w="7512" w:type="dxa"/>
            <w:gridSpan w:val="2"/>
          </w:tcPr>
          <w:p w:rsidR="00106C03" w:rsidRPr="000E2699" w:rsidRDefault="00E04679">
            <w:pPr>
              <w:spacing w:before="40" w:after="40"/>
              <w:rPr>
                <w:rFonts w:ascii="Arial" w:hAnsi="Arial" w:cs="Arial"/>
                <w:sz w:val="22"/>
                <w:lang w:val="en-US"/>
              </w:rPr>
            </w:pPr>
            <w:hyperlink r:id="rId8" w:history="1">
              <w:r w:rsidR="00853183" w:rsidRPr="000E2699">
                <w:rPr>
                  <w:rStyle w:val="Hyperlink"/>
                  <w:rFonts w:ascii="Arial" w:hAnsi="Arial" w:cs="Arial"/>
                  <w:sz w:val="22"/>
                  <w:lang w:val="en-US"/>
                </w:rPr>
                <w:t>peterradoster@gmail.com</w:t>
              </w:r>
            </w:hyperlink>
          </w:p>
        </w:tc>
      </w:tr>
    </w:tbl>
    <w:p w:rsidR="00106C03" w:rsidRPr="000E2699" w:rsidRDefault="00106C03">
      <w:pPr>
        <w:rPr>
          <w:rFonts w:ascii="Arial" w:hAnsi="Arial" w:cs="Arial"/>
          <w:b/>
          <w:sz w:val="10"/>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Nationality(-</w:t>
            </w:r>
            <w:proofErr w:type="spellStart"/>
            <w:r w:rsidRPr="000E2699">
              <w:rPr>
                <w:rFonts w:ascii="Arial" w:hAnsi="Arial" w:cs="Arial"/>
                <w:lang w:val="en-US"/>
              </w:rPr>
              <w:t>ies</w:t>
            </w:r>
            <w:proofErr w:type="spellEnd"/>
            <w:r w:rsidRPr="000E2699">
              <w:rPr>
                <w:rFonts w:ascii="Arial" w:hAnsi="Arial" w:cs="Arial"/>
                <w:lang w:val="en-US"/>
              </w:rPr>
              <w:t>)</w:t>
            </w:r>
          </w:p>
        </w:tc>
        <w:tc>
          <w:tcPr>
            <w:tcW w:w="284" w:type="dxa"/>
          </w:tcPr>
          <w:p w:rsidR="00106C03" w:rsidRPr="000E2699" w:rsidRDefault="00106C03">
            <w:pPr>
              <w:spacing w:before="40" w:after="40"/>
              <w:rPr>
                <w:rFonts w:ascii="Arial" w:hAnsi="Arial" w:cs="Arial"/>
                <w:b/>
                <w:lang w:val="en-US"/>
              </w:rPr>
            </w:pPr>
          </w:p>
        </w:tc>
        <w:tc>
          <w:tcPr>
            <w:tcW w:w="7512" w:type="dxa"/>
          </w:tcPr>
          <w:p w:rsidR="00106C03" w:rsidRPr="000E2699" w:rsidRDefault="00106C03">
            <w:pPr>
              <w:pStyle w:val="Header"/>
              <w:tabs>
                <w:tab w:val="clear" w:pos="4153"/>
                <w:tab w:val="clear" w:pos="8306"/>
              </w:tabs>
              <w:spacing w:before="40" w:after="40"/>
              <w:rPr>
                <w:rFonts w:ascii="Arial" w:hAnsi="Arial" w:cs="Arial"/>
                <w:lang w:val="en-US"/>
              </w:rPr>
            </w:pPr>
            <w:r w:rsidRPr="000E2699">
              <w:rPr>
                <w:rFonts w:ascii="Arial" w:hAnsi="Arial" w:cs="Arial"/>
                <w:lang w:val="en-US"/>
              </w:rPr>
              <w:t>Hungarian</w:t>
            </w:r>
          </w:p>
        </w:tc>
      </w:tr>
    </w:tbl>
    <w:p w:rsidR="00106C03" w:rsidRPr="000E2699" w:rsidRDefault="00106C03">
      <w:pPr>
        <w:rPr>
          <w:rFonts w:ascii="Arial" w:hAnsi="Arial" w:cs="Arial"/>
          <w:b/>
          <w:sz w:val="10"/>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Date of birth</w:t>
            </w:r>
          </w:p>
        </w:tc>
        <w:tc>
          <w:tcPr>
            <w:tcW w:w="284" w:type="dxa"/>
          </w:tcPr>
          <w:p w:rsidR="00106C03" w:rsidRPr="000E2699" w:rsidRDefault="00106C03">
            <w:pPr>
              <w:pStyle w:val="Header"/>
              <w:tabs>
                <w:tab w:val="clear" w:pos="4153"/>
                <w:tab w:val="clear" w:pos="8306"/>
              </w:tabs>
              <w:spacing w:before="40" w:after="40"/>
              <w:rPr>
                <w:rFonts w:ascii="Arial" w:hAnsi="Arial" w:cs="Arial"/>
                <w:lang w:val="en-US"/>
              </w:rPr>
            </w:pPr>
          </w:p>
        </w:tc>
        <w:tc>
          <w:tcPr>
            <w:tcW w:w="7512" w:type="dxa"/>
          </w:tcPr>
          <w:p w:rsidR="00106C03" w:rsidRPr="000E2699" w:rsidRDefault="00106C03">
            <w:pPr>
              <w:pStyle w:val="Header"/>
              <w:tabs>
                <w:tab w:val="clear" w:pos="4153"/>
                <w:tab w:val="clear" w:pos="8306"/>
              </w:tabs>
              <w:spacing w:before="40" w:after="40"/>
              <w:rPr>
                <w:rFonts w:ascii="Arial" w:hAnsi="Arial" w:cs="Arial"/>
                <w:lang w:val="en-US"/>
              </w:rPr>
            </w:pPr>
            <w:r w:rsidRPr="000E2699">
              <w:rPr>
                <w:rFonts w:ascii="Arial" w:hAnsi="Arial" w:cs="Arial"/>
                <w:lang w:val="en-US"/>
              </w:rPr>
              <w:t>17.06.1958.</w:t>
            </w:r>
          </w:p>
        </w:tc>
      </w:tr>
    </w:tbl>
    <w:p w:rsidR="00106C03" w:rsidRPr="000E2699" w:rsidRDefault="00106C03">
      <w:pPr>
        <w:rPr>
          <w:rFonts w:ascii="Arial" w:hAnsi="Arial" w:cs="Arial"/>
          <w:b/>
          <w:sz w:val="10"/>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spacing w:before="40" w:after="40"/>
              <w:jc w:val="right"/>
              <w:rPr>
                <w:rFonts w:ascii="Arial" w:hAnsi="Arial" w:cs="Arial"/>
                <w:lang w:val="en-US"/>
              </w:rPr>
            </w:pPr>
            <w:r w:rsidRPr="000E2699">
              <w:rPr>
                <w:rFonts w:ascii="Arial" w:hAnsi="Arial" w:cs="Arial"/>
                <w:lang w:val="en-US"/>
              </w:rPr>
              <w:t>Gender</w:t>
            </w:r>
          </w:p>
          <w:p w:rsidR="00C81D95" w:rsidRPr="000E2699" w:rsidRDefault="00C81D95">
            <w:pPr>
              <w:spacing w:before="40" w:after="40"/>
              <w:jc w:val="right"/>
              <w:rPr>
                <w:rFonts w:ascii="Arial" w:hAnsi="Arial" w:cs="Arial"/>
                <w:lang w:val="en-US"/>
              </w:rPr>
            </w:pPr>
          </w:p>
          <w:p w:rsidR="00C81D95" w:rsidRPr="000E2699" w:rsidRDefault="00C81D95">
            <w:pPr>
              <w:spacing w:before="40" w:after="40"/>
              <w:jc w:val="right"/>
              <w:rPr>
                <w:rFonts w:ascii="Arial" w:hAnsi="Arial" w:cs="Arial"/>
                <w:b/>
                <w:sz w:val="24"/>
                <w:szCs w:val="24"/>
                <w:lang w:val="en-US"/>
              </w:rPr>
            </w:pPr>
            <w:r w:rsidRPr="000E2699">
              <w:rPr>
                <w:rFonts w:ascii="Arial" w:hAnsi="Arial" w:cs="Arial"/>
                <w:b/>
                <w:sz w:val="24"/>
                <w:szCs w:val="24"/>
                <w:lang w:val="en-US"/>
              </w:rPr>
              <w:t>Personal statement</w:t>
            </w:r>
          </w:p>
        </w:tc>
        <w:tc>
          <w:tcPr>
            <w:tcW w:w="284" w:type="dxa"/>
          </w:tcPr>
          <w:p w:rsidR="00106C03" w:rsidRPr="000E2699" w:rsidRDefault="00106C03">
            <w:pPr>
              <w:spacing w:before="40" w:after="40"/>
              <w:rPr>
                <w:rFonts w:ascii="Arial" w:hAnsi="Arial" w:cs="Arial"/>
                <w:lang w:val="en-US"/>
              </w:rPr>
            </w:pPr>
          </w:p>
        </w:tc>
        <w:tc>
          <w:tcPr>
            <w:tcW w:w="7512" w:type="dxa"/>
          </w:tcPr>
          <w:p w:rsidR="00106C03" w:rsidRPr="000E2699" w:rsidRDefault="00106C03">
            <w:pPr>
              <w:spacing w:before="40" w:after="40"/>
              <w:rPr>
                <w:rFonts w:ascii="Arial" w:hAnsi="Arial" w:cs="Arial"/>
                <w:lang w:val="en-US"/>
              </w:rPr>
            </w:pPr>
            <w:r w:rsidRPr="000E2699">
              <w:rPr>
                <w:rFonts w:ascii="Arial" w:hAnsi="Arial" w:cs="Arial"/>
                <w:lang w:val="en-US"/>
              </w:rPr>
              <w:t>Male</w:t>
            </w:r>
          </w:p>
          <w:p w:rsidR="00C81D95" w:rsidRPr="000E2699" w:rsidRDefault="00C81D95">
            <w:pPr>
              <w:spacing w:before="40" w:after="40"/>
              <w:rPr>
                <w:rFonts w:ascii="Arial" w:hAnsi="Arial" w:cs="Arial"/>
                <w:lang w:val="en-US"/>
              </w:rPr>
            </w:pPr>
          </w:p>
          <w:p w:rsidR="00C81D95" w:rsidRPr="000E2699" w:rsidRDefault="000E2699" w:rsidP="000E2699">
            <w:pPr>
              <w:rPr>
                <w:rFonts w:ascii="Arial" w:hAnsi="Arial" w:cs="Arial"/>
              </w:rPr>
            </w:pPr>
            <w:r w:rsidRPr="000E2699">
              <w:rPr>
                <w:rFonts w:ascii="Arial" w:hAnsi="Arial" w:cs="Arial"/>
                <w:lang w:val="en-US"/>
              </w:rPr>
              <w:t>Péter Radó</w:t>
            </w:r>
            <w:r w:rsidR="00C81D95" w:rsidRPr="000E2699">
              <w:rPr>
                <w:rFonts w:ascii="Arial" w:hAnsi="Arial" w:cs="Arial"/>
                <w:lang w:val="en-US"/>
              </w:rPr>
              <w:t xml:space="preserve"> ha</w:t>
            </w:r>
            <w:r w:rsidRPr="000E2699">
              <w:rPr>
                <w:rFonts w:ascii="Arial" w:hAnsi="Arial" w:cs="Arial"/>
                <w:lang w:val="en-US"/>
              </w:rPr>
              <w:t>s</w:t>
            </w:r>
            <w:r w:rsidR="00C81D95" w:rsidRPr="000E2699">
              <w:rPr>
                <w:rFonts w:ascii="Arial" w:hAnsi="Arial" w:cs="Arial"/>
                <w:lang w:val="en-US"/>
              </w:rPr>
              <w:t xml:space="preserve"> more than three decades long experience in empirical sociological research in education and among minorities, in educational policy analysis and planning, in program and policy evaluation in education </w:t>
            </w:r>
            <w:r w:rsidR="006D6C8A" w:rsidRPr="000E2699">
              <w:rPr>
                <w:rFonts w:ascii="Arial" w:hAnsi="Arial" w:cs="Arial"/>
                <w:lang w:val="en-US"/>
              </w:rPr>
              <w:t>and</w:t>
            </w:r>
            <w:r w:rsidR="00C81D95" w:rsidRPr="000E2699">
              <w:rPr>
                <w:rFonts w:ascii="Arial" w:hAnsi="Arial" w:cs="Arial"/>
                <w:lang w:val="en-US"/>
              </w:rPr>
              <w:t xml:space="preserve"> in teaching in higher education. </w:t>
            </w:r>
            <w:r w:rsidRPr="000E2699">
              <w:rPr>
                <w:rFonts w:ascii="Arial" w:hAnsi="Arial" w:cs="Arial"/>
                <w:lang w:val="en-US"/>
              </w:rPr>
              <w:t>He has</w:t>
            </w:r>
            <w:r w:rsidR="00C81D95" w:rsidRPr="000E2699">
              <w:rPr>
                <w:rFonts w:ascii="Arial" w:hAnsi="Arial" w:cs="Arial"/>
                <w:lang w:val="en-US"/>
              </w:rPr>
              <w:t xml:space="preserve"> worked in 18 countries in Eastern-Europe, South-East Europe and Central-Asia</w:t>
            </w:r>
            <w:r w:rsidR="006D6C8A" w:rsidRPr="000E2699">
              <w:rPr>
                <w:rFonts w:ascii="Arial" w:hAnsi="Arial" w:cs="Arial"/>
                <w:lang w:val="en-US"/>
              </w:rPr>
              <w:t xml:space="preserve"> as an evaluator, consultant or expert</w:t>
            </w:r>
            <w:r w:rsidR="00C81D95" w:rsidRPr="000E2699">
              <w:rPr>
                <w:rFonts w:ascii="Arial" w:hAnsi="Arial" w:cs="Arial"/>
                <w:lang w:val="en-US"/>
              </w:rPr>
              <w:t xml:space="preserve">. </w:t>
            </w:r>
            <w:r w:rsidRPr="000E2699">
              <w:rPr>
                <w:rFonts w:ascii="Arial" w:hAnsi="Arial" w:cs="Arial"/>
                <w:lang w:val="en-US"/>
              </w:rPr>
              <w:t>His</w:t>
            </w:r>
            <w:r w:rsidR="00C81D95" w:rsidRPr="000E2699">
              <w:rPr>
                <w:rFonts w:ascii="Arial" w:hAnsi="Arial" w:cs="Arial"/>
                <w:lang w:val="en-US"/>
              </w:rPr>
              <w:t xml:space="preserve"> special fields are inequalities in education, the analysis of education systems, governance of education and educational policy analysis. </w:t>
            </w:r>
            <w:r w:rsidRPr="000E2699">
              <w:rPr>
                <w:rFonts w:ascii="Arial" w:hAnsi="Arial" w:cs="Arial"/>
                <w:lang w:val="en-US"/>
              </w:rPr>
              <w:t>Péter Radó</w:t>
            </w:r>
            <w:r w:rsidR="00C81D95" w:rsidRPr="000E2699">
              <w:rPr>
                <w:rFonts w:ascii="Arial" w:hAnsi="Arial" w:cs="Arial"/>
                <w:lang w:val="en-US"/>
              </w:rPr>
              <w:t xml:space="preserve"> have published more the seventy studies and four books. </w:t>
            </w:r>
          </w:p>
        </w:tc>
      </w:tr>
    </w:tbl>
    <w:p w:rsidR="00106C03" w:rsidRPr="000E2699" w:rsidRDefault="00106C03">
      <w:pPr>
        <w:rPr>
          <w:rFonts w:ascii="Arial" w:hAnsi="Arial" w:cs="Arial"/>
          <w:b/>
          <w:lang w:val="en-US"/>
        </w:rPr>
      </w:pPr>
    </w:p>
    <w:tbl>
      <w:tblPr>
        <w:tblW w:w="0" w:type="auto"/>
        <w:tblInd w:w="108" w:type="dxa"/>
        <w:tblLayout w:type="fixed"/>
        <w:tblLook w:val="0000" w:firstRow="0" w:lastRow="0" w:firstColumn="0" w:lastColumn="0" w:noHBand="0" w:noVBand="0"/>
      </w:tblPr>
      <w:tblGrid>
        <w:gridCol w:w="2977"/>
      </w:tblGrid>
      <w:tr w:rsidR="00106C03" w:rsidRPr="000E2699">
        <w:tc>
          <w:tcPr>
            <w:tcW w:w="2977" w:type="dxa"/>
          </w:tcPr>
          <w:p w:rsidR="00106C03" w:rsidRPr="000E2699" w:rsidRDefault="00106C03">
            <w:pPr>
              <w:pStyle w:val="Heading1"/>
              <w:rPr>
                <w:rFonts w:ascii="Arial" w:hAnsi="Arial" w:cs="Arial"/>
                <w:b/>
                <w:sz w:val="24"/>
                <w:lang w:val="en-US"/>
              </w:rPr>
            </w:pPr>
            <w:r w:rsidRPr="000E2699">
              <w:rPr>
                <w:rFonts w:ascii="Arial" w:hAnsi="Arial" w:cs="Arial"/>
                <w:b/>
                <w:sz w:val="24"/>
                <w:lang w:val="en-US"/>
              </w:rPr>
              <w:t>Work experience</w:t>
            </w:r>
          </w:p>
        </w:tc>
      </w:tr>
    </w:tbl>
    <w:p w:rsidR="00106C03" w:rsidRPr="000E2699" w:rsidRDefault="00106C03">
      <w:pPr>
        <w:rPr>
          <w:rFonts w:ascii="Arial" w:hAnsi="Arial" w:cs="Arial"/>
          <w:b/>
          <w:sz w:val="10"/>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rPr>
          <w:cantSplit/>
        </w:trPr>
        <w:tc>
          <w:tcPr>
            <w:tcW w:w="2977" w:type="dxa"/>
          </w:tcPr>
          <w:p w:rsidR="00291F31" w:rsidRPr="000E2699" w:rsidRDefault="00291F31" w:rsidP="008F5AE9">
            <w:pPr>
              <w:spacing w:before="40" w:after="40"/>
              <w:jc w:val="right"/>
              <w:rPr>
                <w:rFonts w:ascii="Arial" w:hAnsi="Arial" w:cs="Arial"/>
                <w:lang w:val="en-US"/>
              </w:rPr>
            </w:pPr>
            <w:r w:rsidRPr="000E2699">
              <w:rPr>
                <w:rFonts w:ascii="Arial" w:hAnsi="Arial" w:cs="Arial"/>
                <w:lang w:val="en-US"/>
              </w:rPr>
              <w:t>Dates</w:t>
            </w:r>
          </w:p>
          <w:p w:rsidR="00291F31" w:rsidRPr="000E2699" w:rsidRDefault="00291F31" w:rsidP="008F5AE9">
            <w:pPr>
              <w:spacing w:before="40" w:after="40"/>
              <w:jc w:val="right"/>
              <w:rPr>
                <w:rFonts w:ascii="Arial" w:hAnsi="Arial" w:cs="Arial"/>
                <w:lang w:val="en-US"/>
              </w:rPr>
            </w:pPr>
            <w:r w:rsidRPr="000E2699">
              <w:rPr>
                <w:rFonts w:ascii="Arial" w:hAnsi="Arial" w:cs="Arial"/>
                <w:lang w:val="en-US"/>
              </w:rPr>
              <w:t>Occupation or position held</w:t>
            </w:r>
          </w:p>
          <w:p w:rsidR="00291F31" w:rsidRPr="000E2699" w:rsidRDefault="00291F31" w:rsidP="008F5AE9">
            <w:pPr>
              <w:spacing w:before="40" w:after="40"/>
              <w:jc w:val="right"/>
              <w:rPr>
                <w:rFonts w:ascii="Arial" w:hAnsi="Arial" w:cs="Arial"/>
                <w:lang w:val="en-US"/>
              </w:rPr>
            </w:pPr>
            <w:r w:rsidRPr="000E2699">
              <w:rPr>
                <w:rFonts w:ascii="Arial" w:hAnsi="Arial" w:cs="Arial"/>
                <w:lang w:val="en-US"/>
              </w:rPr>
              <w:t>Main activities and responsibilities</w:t>
            </w:r>
          </w:p>
          <w:p w:rsidR="00C81D95" w:rsidRPr="000E2699" w:rsidRDefault="00C81D95" w:rsidP="008F5AE9">
            <w:pPr>
              <w:spacing w:before="40" w:after="40"/>
              <w:jc w:val="right"/>
              <w:rPr>
                <w:rFonts w:ascii="Arial" w:hAnsi="Arial" w:cs="Arial"/>
                <w:lang w:val="en-US"/>
              </w:rPr>
            </w:pPr>
            <w:r w:rsidRPr="000E2699">
              <w:rPr>
                <w:rFonts w:ascii="Arial" w:hAnsi="Arial" w:cs="Arial"/>
                <w:lang w:val="en-US"/>
              </w:rPr>
              <w:t>Nam</w:t>
            </w:r>
            <w:r w:rsidR="00A9086D">
              <w:rPr>
                <w:rFonts w:ascii="Arial" w:hAnsi="Arial" w:cs="Arial"/>
                <w:lang w:val="en-US"/>
              </w:rPr>
              <w:t>e</w:t>
            </w:r>
            <w:bookmarkStart w:id="0" w:name="_GoBack"/>
            <w:bookmarkEnd w:id="0"/>
            <w:r w:rsidRPr="000E2699">
              <w:rPr>
                <w:rFonts w:ascii="Arial" w:hAnsi="Arial" w:cs="Arial"/>
                <w:lang w:val="en-US"/>
              </w:rPr>
              <w:t xml:space="preserve"> and address of employer</w:t>
            </w:r>
          </w:p>
          <w:p w:rsidR="00291F31" w:rsidRPr="000E2699" w:rsidRDefault="00291F31" w:rsidP="008F5AE9">
            <w:pPr>
              <w:spacing w:before="40" w:after="40"/>
              <w:jc w:val="right"/>
              <w:rPr>
                <w:rFonts w:ascii="Arial" w:hAnsi="Arial" w:cs="Arial"/>
                <w:lang w:val="en-US"/>
              </w:rPr>
            </w:pPr>
          </w:p>
          <w:p w:rsidR="00291F31" w:rsidRPr="000E2699" w:rsidRDefault="00106C03" w:rsidP="00291F31">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8F5AE9">
            <w:pPr>
              <w:pStyle w:val="Header"/>
              <w:tabs>
                <w:tab w:val="clear" w:pos="4153"/>
                <w:tab w:val="clear" w:pos="8306"/>
              </w:tabs>
              <w:spacing w:before="40" w:after="40"/>
              <w:rPr>
                <w:rFonts w:ascii="Arial" w:hAnsi="Arial" w:cs="Arial"/>
                <w:lang w:val="en-US"/>
              </w:rPr>
            </w:pPr>
          </w:p>
        </w:tc>
        <w:tc>
          <w:tcPr>
            <w:tcW w:w="7512" w:type="dxa"/>
          </w:tcPr>
          <w:p w:rsidR="00291F31" w:rsidRPr="000E2699" w:rsidRDefault="00291F31" w:rsidP="008F5AE9">
            <w:pPr>
              <w:spacing w:before="40" w:after="40"/>
              <w:rPr>
                <w:rFonts w:ascii="Arial" w:hAnsi="Arial" w:cs="Arial"/>
                <w:lang w:val="en-US"/>
              </w:rPr>
            </w:pPr>
            <w:r w:rsidRPr="000E2699">
              <w:rPr>
                <w:rFonts w:ascii="Arial" w:hAnsi="Arial" w:cs="Arial"/>
                <w:lang w:val="en-US"/>
              </w:rPr>
              <w:t>2019-</w:t>
            </w:r>
          </w:p>
          <w:p w:rsidR="00291F31" w:rsidRPr="000E2699" w:rsidRDefault="00621811" w:rsidP="008F5AE9">
            <w:pPr>
              <w:spacing w:before="40" w:after="40"/>
              <w:rPr>
                <w:rFonts w:ascii="Arial" w:hAnsi="Arial" w:cs="Arial"/>
                <w:lang w:val="en-US"/>
              </w:rPr>
            </w:pPr>
            <w:r>
              <w:rPr>
                <w:rFonts w:ascii="Arial" w:hAnsi="Arial" w:cs="Arial"/>
                <w:lang w:val="en-US"/>
              </w:rPr>
              <w:t>Research Fellow</w:t>
            </w:r>
          </w:p>
          <w:p w:rsidR="00291F31" w:rsidRPr="000E2699" w:rsidRDefault="00A9086D" w:rsidP="008F5AE9">
            <w:pPr>
              <w:spacing w:before="40" w:after="40"/>
              <w:rPr>
                <w:rFonts w:ascii="Arial" w:hAnsi="Arial" w:cs="Arial"/>
                <w:lang w:val="en-US"/>
              </w:rPr>
            </w:pPr>
            <w:r>
              <w:rPr>
                <w:rFonts w:ascii="Arial" w:hAnsi="Arial" w:cs="Arial"/>
                <w:lang w:val="en-US"/>
              </w:rPr>
              <w:t>Leading and doing international comparative research on educational governance and policy</w:t>
            </w:r>
            <w:r w:rsidR="00291F31" w:rsidRPr="000E2699">
              <w:rPr>
                <w:rFonts w:ascii="Arial" w:hAnsi="Arial" w:cs="Arial"/>
                <w:lang w:val="en-US"/>
              </w:rPr>
              <w:t xml:space="preserve"> </w:t>
            </w:r>
          </w:p>
          <w:p w:rsidR="00291F31" w:rsidRPr="000E2699" w:rsidRDefault="00A9086D" w:rsidP="008F5AE9">
            <w:pPr>
              <w:spacing w:before="40" w:after="40"/>
              <w:rPr>
                <w:rFonts w:ascii="Arial" w:hAnsi="Arial" w:cs="Arial"/>
                <w:lang w:val="en-US"/>
              </w:rPr>
            </w:pPr>
            <w:r>
              <w:rPr>
                <w:rFonts w:ascii="Arial" w:hAnsi="Arial" w:cs="Arial"/>
                <w:lang w:val="en-US"/>
              </w:rPr>
              <w:t>Central European University – Center for Policy Studies.</w:t>
            </w:r>
            <w:r w:rsidR="00030860" w:rsidRPr="000E2699">
              <w:rPr>
                <w:rFonts w:ascii="Arial" w:hAnsi="Arial" w:cs="Arial"/>
                <w:lang w:val="en-US"/>
              </w:rPr>
              <w:t xml:space="preserve"> Budapest, </w:t>
            </w:r>
            <w:proofErr w:type="spellStart"/>
            <w:r>
              <w:rPr>
                <w:rFonts w:ascii="Arial" w:hAnsi="Arial" w:cs="Arial"/>
                <w:lang w:val="en-US"/>
              </w:rPr>
              <w:t>Nádor</w:t>
            </w:r>
            <w:proofErr w:type="spellEnd"/>
            <w:r>
              <w:rPr>
                <w:rFonts w:ascii="Arial" w:hAnsi="Arial" w:cs="Arial"/>
                <w:lang w:val="en-US"/>
              </w:rPr>
              <w:t xml:space="preserve"> </w:t>
            </w:r>
            <w:proofErr w:type="spellStart"/>
            <w:r>
              <w:rPr>
                <w:rFonts w:ascii="Arial" w:hAnsi="Arial" w:cs="Arial"/>
                <w:lang w:val="en-US"/>
              </w:rPr>
              <w:t>utca</w:t>
            </w:r>
            <w:proofErr w:type="spellEnd"/>
            <w:r>
              <w:rPr>
                <w:rFonts w:ascii="Arial" w:hAnsi="Arial" w:cs="Arial"/>
                <w:lang w:val="en-US"/>
              </w:rPr>
              <w:t xml:space="preserve"> 11. Hungary</w:t>
            </w:r>
          </w:p>
          <w:p w:rsidR="00C81D95" w:rsidRPr="000E2699" w:rsidRDefault="00C81D95" w:rsidP="008F5AE9">
            <w:pPr>
              <w:spacing w:before="40" w:after="40"/>
              <w:rPr>
                <w:rFonts w:ascii="Arial" w:hAnsi="Arial" w:cs="Arial"/>
                <w:lang w:val="en-US"/>
              </w:rPr>
            </w:pPr>
          </w:p>
          <w:p w:rsidR="00106C03" w:rsidRPr="000E2699" w:rsidRDefault="00106C03" w:rsidP="008F5AE9">
            <w:pPr>
              <w:spacing w:before="40" w:after="40"/>
              <w:rPr>
                <w:rFonts w:ascii="Arial" w:hAnsi="Arial" w:cs="Arial"/>
                <w:lang w:val="en-US"/>
              </w:rPr>
            </w:pPr>
            <w:r w:rsidRPr="000E2699">
              <w:rPr>
                <w:rFonts w:ascii="Arial" w:hAnsi="Arial" w:cs="Arial"/>
                <w:lang w:val="en-US"/>
              </w:rPr>
              <w:t>2008-</w:t>
            </w:r>
            <w:r w:rsidR="00291F31" w:rsidRPr="000E2699">
              <w:rPr>
                <w:rFonts w:ascii="Arial" w:hAnsi="Arial" w:cs="Arial"/>
                <w:lang w:val="en-US"/>
              </w:rPr>
              <w:t>2019</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Senior consultant</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3F2D39">
            <w:pPr>
              <w:spacing w:before="40" w:after="40"/>
              <w:rPr>
                <w:rFonts w:ascii="Arial" w:hAnsi="Arial" w:cs="Arial"/>
                <w:lang w:val="en-US"/>
              </w:rPr>
            </w:pPr>
            <w:r w:rsidRPr="000E2699">
              <w:rPr>
                <w:rFonts w:ascii="Arial" w:hAnsi="Arial" w:cs="Arial"/>
                <w:lang w:val="en-US"/>
              </w:rPr>
              <w:t xml:space="preserve">Among others: participation in policy and program evaluation programs for the EU </w:t>
            </w:r>
            <w:r w:rsidR="003F2D39" w:rsidRPr="000E2699">
              <w:rPr>
                <w:rFonts w:ascii="Arial" w:hAnsi="Arial" w:cs="Arial"/>
                <w:lang w:val="en-US"/>
              </w:rPr>
              <w:t>C</w:t>
            </w:r>
            <w:r w:rsidRPr="000E2699">
              <w:rPr>
                <w:rFonts w:ascii="Arial" w:hAnsi="Arial" w:cs="Arial"/>
                <w:lang w:val="en-US"/>
              </w:rPr>
              <w:t>ommission</w:t>
            </w:r>
            <w:r w:rsidR="003F2D39" w:rsidRPr="000E2699">
              <w:rPr>
                <w:rFonts w:ascii="Arial" w:hAnsi="Arial" w:cs="Arial"/>
                <w:lang w:val="en-US"/>
              </w:rPr>
              <w:t>, OECD</w:t>
            </w:r>
            <w:r w:rsidRPr="000E2699">
              <w:rPr>
                <w:rFonts w:ascii="Arial" w:hAnsi="Arial" w:cs="Arial"/>
                <w:lang w:val="en-US"/>
              </w:rPr>
              <w:t xml:space="preserve"> and governments, supporting policy analysis and planning in the field of education, leading and managing educational development programs, technical assistance in South-East European countries.</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roofErr w:type="spellStart"/>
            <w:r w:rsidRPr="000E2699">
              <w:rPr>
                <w:rFonts w:ascii="Arial" w:hAnsi="Arial" w:cs="Arial"/>
                <w:lang w:val="en-US"/>
              </w:rPr>
              <w:t>Expanzio</w:t>
            </w:r>
            <w:proofErr w:type="spellEnd"/>
            <w:r w:rsidRPr="000E2699">
              <w:rPr>
                <w:rFonts w:ascii="Arial" w:hAnsi="Arial" w:cs="Arial"/>
                <w:lang w:val="en-US"/>
              </w:rPr>
              <w:t xml:space="preserve"> Consulting Ltd. 1061. </w:t>
            </w:r>
            <w:smartTag w:uri="urn:schemas-microsoft-com:office:smarttags" w:element="City">
              <w:smartTag w:uri="urn:schemas-microsoft-com:office:smarttags" w:element="place">
                <w:r w:rsidRPr="000E2699">
                  <w:rPr>
                    <w:rFonts w:ascii="Arial" w:hAnsi="Arial" w:cs="Arial"/>
                    <w:lang w:val="en-US"/>
                  </w:rPr>
                  <w:t>Budapest</w:t>
                </w:r>
              </w:smartTag>
            </w:smartTag>
            <w:r w:rsidRPr="000E2699">
              <w:rPr>
                <w:rFonts w:ascii="Arial" w:hAnsi="Arial" w:cs="Arial"/>
                <w:lang w:val="en-US"/>
              </w:rPr>
              <w:t xml:space="preserve">, </w:t>
            </w:r>
            <w:proofErr w:type="spellStart"/>
            <w:r w:rsidRPr="000E2699">
              <w:rPr>
                <w:rFonts w:ascii="Arial" w:hAnsi="Arial" w:cs="Arial"/>
                <w:lang w:val="en-US"/>
              </w:rPr>
              <w:t>Király</w:t>
            </w:r>
            <w:proofErr w:type="spellEnd"/>
            <w:r w:rsidRPr="000E2699">
              <w:rPr>
                <w:rFonts w:ascii="Arial" w:hAnsi="Arial" w:cs="Arial"/>
                <w:lang w:val="en-US"/>
              </w:rPr>
              <w:t xml:space="preserve"> u. 16</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2006-2008</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Senior advisor</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Among others: policy analysis and planning in the areas of public financing of education, lifelong learning systems, equity in education, quality management systems, capacity building in policy analysis and evaluation, technical assistance in Bulgaria and Serbia.</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National Institute for Educational Development and Research</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2003-2006</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Director </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Among others: policy analysis and planning in the areas of curriculum policy and teacher policy, equity in education, quality evaluation systems. Capacity building in policy analysis and evaluation. Professional leadership in an Internship program for young educational policy analysts from </w:t>
            </w:r>
            <w:smartTag w:uri="urn:schemas-microsoft-com:office:smarttags" w:element="country-region">
              <w:smartTag w:uri="urn:schemas-microsoft-com:office:smarttags" w:element="place">
                <w:r w:rsidRPr="000E2699">
                  <w:rPr>
                    <w:rFonts w:ascii="Arial" w:hAnsi="Arial" w:cs="Arial"/>
                    <w:lang w:val="en-US"/>
                  </w:rPr>
                  <w:t>Serbia</w:t>
                </w:r>
              </w:smartTag>
            </w:smartTag>
            <w:r w:rsidRPr="000E2699">
              <w:rPr>
                <w:rFonts w:ascii="Arial" w:hAnsi="Arial" w:cs="Arial"/>
                <w:lang w:val="en-US"/>
              </w:rPr>
              <w:t>.</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Center for Educational Policy Analysis, National Institute for Public Education (Later: </w:t>
            </w:r>
            <w:proofErr w:type="spellStart"/>
            <w:r w:rsidRPr="000E2699">
              <w:rPr>
                <w:rFonts w:ascii="Arial" w:hAnsi="Arial" w:cs="Arial"/>
                <w:lang w:val="en-US"/>
              </w:rPr>
              <w:t>Sulinova</w:t>
            </w:r>
            <w:proofErr w:type="spellEnd"/>
            <w:r w:rsidRPr="000E2699">
              <w:rPr>
                <w:rFonts w:ascii="Arial" w:hAnsi="Arial" w:cs="Arial"/>
                <w:lang w:val="en-US"/>
              </w:rPr>
              <w:t>)</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2002-2003</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Educational policy specialist</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Educational Policy Advisor to the Minister of Education and Sports in </w:t>
            </w:r>
            <w:smartTag w:uri="urn:schemas-microsoft-com:office:smarttags" w:element="country-region">
              <w:smartTag w:uri="urn:schemas-microsoft-com:office:smarttags" w:element="place">
                <w:r w:rsidRPr="000E2699">
                  <w:rPr>
                    <w:rFonts w:ascii="Arial" w:hAnsi="Arial" w:cs="Arial"/>
                    <w:lang w:val="en-US"/>
                  </w:rPr>
                  <w:t>Serbia</w:t>
                </w:r>
              </w:smartTag>
            </w:smartTag>
            <w:r w:rsidRPr="000E2699">
              <w:rPr>
                <w:rFonts w:ascii="Arial" w:hAnsi="Arial" w:cs="Arial"/>
                <w:lang w:val="en-US"/>
              </w:rPr>
              <w:t>, technical assistance in the area of educational policy planning in other SEE countries</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PRADO Consulting</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1998-2002</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Assistance director</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Among others: Technical assistance to 18 countries in the CEE and SEE region in developing centers for educational policy analysis, comparative educational policy studies</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Institute for Educational Policy, Open Society Institute</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1996-1998</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Research associate</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Empirical research on education in </w:t>
            </w:r>
            <w:smartTag w:uri="urn:schemas-microsoft-com:office:smarttags" w:element="country-region">
              <w:smartTag w:uri="urn:schemas-microsoft-com:office:smarttags" w:element="place">
                <w:r w:rsidRPr="000E2699">
                  <w:rPr>
                    <w:rFonts w:ascii="Arial" w:hAnsi="Arial" w:cs="Arial"/>
                    <w:lang w:val="en-US"/>
                  </w:rPr>
                  <w:t>Hungary</w:t>
                </w:r>
              </w:smartTag>
            </w:smartTag>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National Institute of Public Education, </w:t>
            </w:r>
            <w:smartTag w:uri="urn:schemas-microsoft-com:office:smarttags" w:element="PlaceName">
              <w:smartTag w:uri="urn:schemas-microsoft-com:office:smarttags" w:element="place">
                <w:smartTag w:uri="urn:schemas-microsoft-com:office:smarttags" w:element="PlaceName">
                  <w:r w:rsidRPr="000E2699">
                    <w:rPr>
                      <w:rFonts w:ascii="Arial" w:hAnsi="Arial" w:cs="Arial"/>
                      <w:lang w:val="en-US"/>
                    </w:rPr>
                    <w:t>Research</w:t>
                  </w:r>
                </w:smartTag>
                <w:r w:rsidRPr="000E2699">
                  <w:rPr>
                    <w:rFonts w:ascii="Arial" w:hAnsi="Arial" w:cs="Arial"/>
                    <w:lang w:val="en-US"/>
                  </w:rPr>
                  <w:t xml:space="preserve"> </w:t>
                </w:r>
                <w:smartTag w:uri="urn:schemas-microsoft-com:office:smarttags" w:element="PlaceType">
                  <w:r w:rsidRPr="000E2699">
                    <w:rPr>
                      <w:rFonts w:ascii="Arial" w:hAnsi="Arial" w:cs="Arial"/>
                      <w:lang w:val="en-US"/>
                    </w:rPr>
                    <w:t>Center</w:t>
                  </w:r>
                </w:smartTag>
              </w:smartTag>
            </w:smartTag>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1994-1996</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Head of Department, later Director</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Development and implementation of educational and cultural policies for minorities, youth </w:t>
            </w:r>
            <w:proofErr w:type="spellStart"/>
            <w:r w:rsidRPr="000E2699">
              <w:rPr>
                <w:rFonts w:ascii="Arial" w:hAnsi="Arial" w:cs="Arial"/>
                <w:lang w:val="en-US"/>
              </w:rPr>
              <w:t>organisation</w:t>
            </w:r>
            <w:proofErr w:type="spellEnd"/>
            <w:r w:rsidRPr="000E2699">
              <w:rPr>
                <w:rFonts w:ascii="Arial" w:hAnsi="Arial" w:cs="Arial"/>
                <w:lang w:val="en-US"/>
              </w:rPr>
              <w:t xml:space="preserve"> and ethnic Hungarians living abroad.</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Ministry of Culture and Education, Directorate for Civil Relations</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1988-1994</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Head of Research Group</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Empirical sociological research among minorities in </w:t>
            </w:r>
            <w:smartTag w:uri="urn:schemas-microsoft-com:office:smarttags" w:element="country-region">
              <w:smartTag w:uri="urn:schemas-microsoft-com:office:smarttags" w:element="place">
                <w:r w:rsidRPr="000E2699">
                  <w:rPr>
                    <w:rFonts w:ascii="Arial" w:hAnsi="Arial" w:cs="Arial"/>
                    <w:lang w:val="en-US"/>
                  </w:rPr>
                  <w:t>Hungary</w:t>
                </w:r>
              </w:smartTag>
            </w:smartTag>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 xml:space="preserve">National Library of Foreign Languages and </w:t>
            </w:r>
            <w:proofErr w:type="spellStart"/>
            <w:r w:rsidRPr="000E2699">
              <w:rPr>
                <w:rFonts w:ascii="Arial" w:hAnsi="Arial" w:cs="Arial"/>
                <w:lang w:val="en-US"/>
              </w:rPr>
              <w:t>Literatura</w:t>
            </w:r>
            <w:proofErr w:type="spellEnd"/>
            <w:r w:rsidRPr="000E2699">
              <w:rPr>
                <w:rFonts w:ascii="Arial" w:hAnsi="Arial" w:cs="Arial"/>
                <w:lang w:val="en-US"/>
              </w:rPr>
              <w:t>, Research Group for Minorities</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Dates</w:t>
            </w:r>
          </w:p>
        </w:tc>
        <w:tc>
          <w:tcPr>
            <w:tcW w:w="284" w:type="dxa"/>
          </w:tcPr>
          <w:p w:rsidR="00106C03" w:rsidRPr="000E2699" w:rsidRDefault="00106C03" w:rsidP="0043653F">
            <w:pPr>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1984-1988</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Occupation or position held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Librarian</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lastRenderedPageBreak/>
              <w:t>Main activities and responsibilities</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Library of Trade Unions</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Name and address of employer</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r w:rsidR="00106C03" w:rsidRPr="000E2699">
        <w:tc>
          <w:tcPr>
            <w:tcW w:w="2977" w:type="dxa"/>
          </w:tcPr>
          <w:p w:rsidR="00106C03" w:rsidRPr="000E2699" w:rsidRDefault="00106C03"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p>
        </w:tc>
      </w:tr>
    </w:tbl>
    <w:p w:rsidR="00106C03" w:rsidRPr="000E2699" w:rsidRDefault="00106C03">
      <w:pPr>
        <w:rPr>
          <w:rFonts w:ascii="Arial" w:hAnsi="Arial" w:cs="Arial"/>
          <w:b/>
          <w:lang w:val="en-US"/>
        </w:rPr>
      </w:pPr>
    </w:p>
    <w:tbl>
      <w:tblPr>
        <w:tblW w:w="0" w:type="auto"/>
        <w:tblInd w:w="108" w:type="dxa"/>
        <w:tblLayout w:type="fixed"/>
        <w:tblLook w:val="0000" w:firstRow="0" w:lastRow="0" w:firstColumn="0" w:lastColumn="0" w:noHBand="0" w:noVBand="0"/>
      </w:tblPr>
      <w:tblGrid>
        <w:gridCol w:w="2977"/>
      </w:tblGrid>
      <w:tr w:rsidR="00106C03" w:rsidRPr="000E2699">
        <w:tc>
          <w:tcPr>
            <w:tcW w:w="2977" w:type="dxa"/>
          </w:tcPr>
          <w:p w:rsidR="00106C03" w:rsidRPr="000E2699" w:rsidRDefault="00106C03">
            <w:pPr>
              <w:pStyle w:val="Heading1"/>
              <w:rPr>
                <w:rFonts w:ascii="Arial" w:hAnsi="Arial" w:cs="Arial"/>
                <w:b/>
                <w:sz w:val="22"/>
                <w:lang w:val="en-US"/>
              </w:rPr>
            </w:pPr>
            <w:r w:rsidRPr="000E2699">
              <w:rPr>
                <w:rFonts w:ascii="Arial" w:hAnsi="Arial" w:cs="Arial"/>
                <w:b/>
                <w:sz w:val="24"/>
                <w:lang w:val="en-US"/>
              </w:rPr>
              <w:t>Education and training</w:t>
            </w:r>
          </w:p>
        </w:tc>
      </w:tr>
    </w:tbl>
    <w:p w:rsidR="00106C03" w:rsidRPr="000E2699" w:rsidRDefault="00106C03">
      <w:pPr>
        <w:rPr>
          <w:rFonts w:ascii="Arial" w:hAnsi="Arial" w:cs="Arial"/>
          <w:b/>
          <w:sz w:val="10"/>
          <w:lang w:val="en-US"/>
        </w:rPr>
      </w:pPr>
    </w:p>
    <w:p w:rsidR="00106C03" w:rsidRPr="000E2699" w:rsidRDefault="00106C03">
      <w:pPr>
        <w:rPr>
          <w:rFonts w:ascii="Arial" w:hAnsi="Arial" w:cs="Arial"/>
          <w:b/>
          <w:lang w:val="en-US"/>
        </w:rPr>
      </w:pPr>
      <w:r w:rsidRPr="000E2699">
        <w:rPr>
          <w:rFonts w:ascii="Arial" w:hAnsi="Arial" w:cs="Arial"/>
          <w:b/>
          <w:lang w:val="en-US"/>
        </w:rPr>
        <w:t xml:space="preserve"> </w:t>
      </w:r>
    </w:p>
    <w:tbl>
      <w:tblPr>
        <w:tblW w:w="10773" w:type="dxa"/>
        <w:tblInd w:w="108" w:type="dxa"/>
        <w:tblLayout w:type="fixed"/>
        <w:tblLook w:val="0000" w:firstRow="0" w:lastRow="0" w:firstColumn="0" w:lastColumn="0" w:noHBand="0" w:noVBand="0"/>
      </w:tblPr>
      <w:tblGrid>
        <w:gridCol w:w="2977"/>
        <w:gridCol w:w="284"/>
        <w:gridCol w:w="7512"/>
      </w:tblGrid>
      <w:tr w:rsidR="00106C03" w:rsidRPr="000E2699">
        <w:trPr>
          <w:cantSplit/>
        </w:trPr>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w:t>
            </w:r>
          </w:p>
        </w:tc>
        <w:tc>
          <w:tcPr>
            <w:tcW w:w="284" w:type="dxa"/>
          </w:tcPr>
          <w:p w:rsidR="00106C03" w:rsidRPr="000E2699" w:rsidRDefault="00106C03" w:rsidP="008F5AE9">
            <w:pPr>
              <w:pStyle w:val="Header"/>
              <w:tabs>
                <w:tab w:val="clear" w:pos="4153"/>
                <w:tab w:val="clear" w:pos="8306"/>
              </w:tabs>
              <w:spacing w:before="40" w:after="40"/>
              <w:rPr>
                <w:rFonts w:ascii="Arial" w:hAnsi="Arial" w:cs="Arial"/>
                <w:lang w:val="en-US"/>
              </w:rPr>
            </w:pPr>
          </w:p>
        </w:tc>
        <w:tc>
          <w:tcPr>
            <w:tcW w:w="7512" w:type="dxa"/>
          </w:tcPr>
          <w:p w:rsidR="00106C03" w:rsidRPr="000E2699" w:rsidRDefault="00106C03" w:rsidP="008F5AE9">
            <w:pPr>
              <w:pStyle w:val="normaltableau"/>
              <w:tabs>
                <w:tab w:val="left" w:pos="661"/>
              </w:tabs>
              <w:spacing w:before="0" w:after="0"/>
              <w:jc w:val="left"/>
              <w:rPr>
                <w:rFonts w:ascii="Arial" w:hAnsi="Arial" w:cs="Arial"/>
                <w:sz w:val="20"/>
                <w:szCs w:val="24"/>
                <w:lang w:val="en-US"/>
              </w:rPr>
            </w:pPr>
            <w:r w:rsidRPr="000E2699">
              <w:rPr>
                <w:rFonts w:ascii="Arial" w:hAnsi="Arial" w:cs="Arial"/>
                <w:sz w:val="20"/>
                <w:szCs w:val="24"/>
                <w:lang w:val="en-US"/>
              </w:rPr>
              <w:t>1983</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Title of qualification awarded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MA</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Principal subjects/Occupational skills covered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Archivist</w:t>
            </w:r>
          </w:p>
        </w:tc>
      </w:tr>
      <w:tr w:rsidR="00106C03" w:rsidRP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 xml:space="preserve">Name and type of </w:t>
            </w:r>
            <w:proofErr w:type="spellStart"/>
            <w:r w:rsidRPr="000E2699">
              <w:rPr>
                <w:rFonts w:ascii="Arial" w:hAnsi="Arial" w:cs="Arial"/>
                <w:lang w:val="en-US"/>
              </w:rPr>
              <w:t>organisation</w:t>
            </w:r>
            <w:proofErr w:type="spellEnd"/>
            <w:r w:rsidRPr="000E2699">
              <w:rPr>
                <w:rFonts w:ascii="Arial" w:hAnsi="Arial" w:cs="Arial"/>
                <w:lang w:val="en-US"/>
              </w:rPr>
              <w:t xml:space="preserve"> providing education and training</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pStyle w:val="normaltableau"/>
              <w:tabs>
                <w:tab w:val="left" w:pos="661"/>
              </w:tabs>
              <w:spacing w:before="0" w:after="0"/>
              <w:jc w:val="left"/>
              <w:rPr>
                <w:rFonts w:ascii="Arial" w:hAnsi="Arial" w:cs="Arial"/>
                <w:sz w:val="20"/>
                <w:szCs w:val="24"/>
                <w:lang w:val="en-US"/>
              </w:rPr>
            </w:pPr>
            <w:proofErr w:type="spellStart"/>
            <w:smartTag w:uri="urn:schemas-microsoft-com:office:smarttags" w:element="PlaceName">
              <w:r w:rsidRPr="000E2699">
                <w:rPr>
                  <w:rFonts w:ascii="Arial" w:hAnsi="Arial" w:cs="Arial"/>
                  <w:sz w:val="20"/>
                  <w:szCs w:val="24"/>
                  <w:lang w:val="en-US"/>
                </w:rPr>
                <w:t>Eötvös</w:t>
              </w:r>
            </w:smartTag>
            <w:proofErr w:type="spellEnd"/>
            <w:r w:rsidRPr="000E2699">
              <w:rPr>
                <w:rFonts w:ascii="Arial" w:hAnsi="Arial" w:cs="Arial"/>
                <w:sz w:val="20"/>
                <w:szCs w:val="24"/>
                <w:lang w:val="en-US"/>
              </w:rPr>
              <w:t xml:space="preserve"> </w:t>
            </w:r>
            <w:proofErr w:type="spellStart"/>
            <w:smartTag w:uri="urn:schemas-microsoft-com:office:smarttags" w:element="PlaceName">
              <w:r w:rsidRPr="000E2699">
                <w:rPr>
                  <w:rFonts w:ascii="Arial" w:hAnsi="Arial" w:cs="Arial"/>
                  <w:sz w:val="20"/>
                  <w:szCs w:val="24"/>
                  <w:lang w:val="en-US"/>
                </w:rPr>
                <w:t>Lóránd</w:t>
              </w:r>
            </w:smartTag>
            <w:proofErr w:type="spellEnd"/>
            <w:r w:rsidRPr="000E2699">
              <w:rPr>
                <w:rFonts w:ascii="Arial" w:hAnsi="Arial" w:cs="Arial"/>
                <w:sz w:val="20"/>
                <w:szCs w:val="24"/>
                <w:lang w:val="en-US"/>
              </w:rPr>
              <w:t xml:space="preserve"> </w:t>
            </w:r>
            <w:smartTag w:uri="urn:schemas-microsoft-com:office:smarttags" w:element="PlaceType">
              <w:r w:rsidRPr="000E2699">
                <w:rPr>
                  <w:rFonts w:ascii="Arial" w:hAnsi="Arial" w:cs="Arial"/>
                  <w:sz w:val="20"/>
                  <w:szCs w:val="24"/>
                  <w:lang w:val="en-US"/>
                </w:rPr>
                <w:t>University</w:t>
              </w:r>
            </w:smartTag>
            <w:r w:rsidRPr="000E2699">
              <w:rPr>
                <w:rFonts w:ascii="Arial" w:hAnsi="Arial" w:cs="Arial"/>
                <w:sz w:val="20"/>
                <w:szCs w:val="24"/>
                <w:lang w:val="en-US"/>
              </w:rPr>
              <w:t xml:space="preserve">, </w:t>
            </w:r>
            <w:smartTag w:uri="urn:schemas-microsoft-com:office:smarttags" w:element="City">
              <w:smartTag w:uri="urn:schemas-microsoft-com:office:smarttags" w:element="place">
                <w:r w:rsidRPr="000E2699">
                  <w:rPr>
                    <w:rFonts w:ascii="Arial" w:hAnsi="Arial" w:cs="Arial"/>
                    <w:sz w:val="20"/>
                    <w:szCs w:val="24"/>
                    <w:lang w:val="en-US"/>
                  </w:rPr>
                  <w:t>Budapest</w:t>
                </w:r>
              </w:smartTag>
            </w:smartTag>
          </w:p>
        </w:tc>
      </w:tr>
    </w:tbl>
    <w:p w:rsidR="00106C03" w:rsidRPr="000E2699" w:rsidRDefault="00106C03">
      <w:pPr>
        <w:rPr>
          <w:rFonts w:ascii="Arial" w:hAnsi="Arial" w:cs="Arial"/>
          <w:b/>
          <w:lang w:val="en-US"/>
        </w:rPr>
      </w:pPr>
      <w:r w:rsidRPr="000E2699">
        <w:rPr>
          <w:rFonts w:ascii="Arial" w:hAnsi="Arial" w:cs="Arial"/>
          <w:b/>
          <w:lang w:val="en-US"/>
        </w:rPr>
        <w:t xml:space="preserve"> </w:t>
      </w:r>
    </w:p>
    <w:tbl>
      <w:tblPr>
        <w:tblW w:w="10773" w:type="dxa"/>
        <w:tblInd w:w="108" w:type="dxa"/>
        <w:tblLayout w:type="fixed"/>
        <w:tblLook w:val="0000" w:firstRow="0" w:lastRow="0" w:firstColumn="0" w:lastColumn="0" w:noHBand="0" w:noVBand="0"/>
      </w:tblPr>
      <w:tblGrid>
        <w:gridCol w:w="2977"/>
        <w:gridCol w:w="284"/>
        <w:gridCol w:w="7512"/>
      </w:tblGrid>
      <w:tr w:rsidR="00106C03" w:rsidRPr="000E2699" w:rsidTr="000E2699">
        <w:trPr>
          <w:cantSplit/>
        </w:trPr>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Date</w:t>
            </w:r>
          </w:p>
        </w:tc>
        <w:tc>
          <w:tcPr>
            <w:tcW w:w="284" w:type="dxa"/>
          </w:tcPr>
          <w:p w:rsidR="00106C03" w:rsidRPr="000E2699" w:rsidRDefault="00106C03" w:rsidP="008F5AE9">
            <w:pPr>
              <w:pStyle w:val="Header"/>
              <w:tabs>
                <w:tab w:val="clear" w:pos="4153"/>
                <w:tab w:val="clear" w:pos="8306"/>
              </w:tabs>
              <w:spacing w:before="40" w:after="40"/>
              <w:rPr>
                <w:rFonts w:ascii="Arial" w:hAnsi="Arial" w:cs="Arial"/>
                <w:lang w:val="en-US"/>
              </w:rPr>
            </w:pPr>
          </w:p>
        </w:tc>
        <w:tc>
          <w:tcPr>
            <w:tcW w:w="7512" w:type="dxa"/>
          </w:tcPr>
          <w:p w:rsidR="00106C03" w:rsidRPr="000E2699" w:rsidRDefault="00106C03" w:rsidP="008F5AE9">
            <w:pPr>
              <w:pStyle w:val="Header"/>
              <w:tabs>
                <w:tab w:val="clear" w:pos="4153"/>
                <w:tab w:val="clear" w:pos="8306"/>
              </w:tabs>
              <w:spacing w:before="40" w:after="40"/>
              <w:rPr>
                <w:rFonts w:ascii="Arial" w:hAnsi="Arial" w:cs="Arial"/>
                <w:lang w:val="en-US"/>
              </w:rPr>
            </w:pPr>
            <w:r w:rsidRPr="000E2699">
              <w:rPr>
                <w:rFonts w:ascii="Arial" w:hAnsi="Arial" w:cs="Arial"/>
                <w:lang w:val="en-US"/>
              </w:rPr>
              <w:t>1983</w:t>
            </w:r>
          </w:p>
        </w:tc>
      </w:tr>
      <w:tr w:rsidR="00106C03" w:rsidRPr="000E2699" w:rsidT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Title of qualification awarded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MA</w:t>
            </w:r>
          </w:p>
        </w:tc>
      </w:tr>
      <w:tr w:rsidR="00106C03" w:rsidRPr="000E2699" w:rsidT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Principal subjects/Occupational skills covered</w:t>
            </w: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spacing w:before="40" w:after="40"/>
              <w:rPr>
                <w:rFonts w:ascii="Arial" w:hAnsi="Arial" w:cs="Arial"/>
                <w:lang w:val="en-US"/>
              </w:rPr>
            </w:pPr>
            <w:r w:rsidRPr="000E2699">
              <w:rPr>
                <w:rFonts w:ascii="Arial" w:hAnsi="Arial" w:cs="Arial"/>
                <w:lang w:val="en-US"/>
              </w:rPr>
              <w:t>Historian</w:t>
            </w:r>
          </w:p>
        </w:tc>
      </w:tr>
      <w:tr w:rsidR="00106C03" w:rsidRPr="000E2699" w:rsidTr="000E2699">
        <w:tc>
          <w:tcPr>
            <w:tcW w:w="2977" w:type="dxa"/>
          </w:tcPr>
          <w:p w:rsidR="00106C03" w:rsidRPr="000E2699" w:rsidRDefault="00106C03" w:rsidP="008F5AE9">
            <w:pPr>
              <w:spacing w:before="40" w:after="40"/>
              <w:jc w:val="right"/>
              <w:rPr>
                <w:rFonts w:ascii="Arial" w:hAnsi="Arial" w:cs="Arial"/>
                <w:lang w:val="en-US"/>
              </w:rPr>
            </w:pPr>
            <w:r w:rsidRPr="000E2699">
              <w:rPr>
                <w:rFonts w:ascii="Arial" w:hAnsi="Arial" w:cs="Arial"/>
                <w:lang w:val="en-US"/>
              </w:rPr>
              <w:t xml:space="preserve">Name and type of </w:t>
            </w:r>
            <w:proofErr w:type="spellStart"/>
            <w:r w:rsidRPr="000E2699">
              <w:rPr>
                <w:rFonts w:ascii="Arial" w:hAnsi="Arial" w:cs="Arial"/>
                <w:lang w:val="en-US"/>
              </w:rPr>
              <w:t>organisation</w:t>
            </w:r>
            <w:proofErr w:type="spellEnd"/>
            <w:r w:rsidRPr="000E2699">
              <w:rPr>
                <w:rFonts w:ascii="Arial" w:hAnsi="Arial" w:cs="Arial"/>
                <w:lang w:val="en-US"/>
              </w:rPr>
              <w:t xml:space="preserve"> providing education and training</w:t>
            </w:r>
          </w:p>
          <w:p w:rsidR="000E2699" w:rsidRPr="000E2699" w:rsidRDefault="000E2699" w:rsidP="008F5AE9">
            <w:pPr>
              <w:spacing w:before="40" w:after="40"/>
              <w:jc w:val="right"/>
              <w:rPr>
                <w:rFonts w:ascii="Arial" w:hAnsi="Arial" w:cs="Arial"/>
                <w:lang w:val="en-US"/>
              </w:rPr>
            </w:pPr>
          </w:p>
        </w:tc>
        <w:tc>
          <w:tcPr>
            <w:tcW w:w="284" w:type="dxa"/>
          </w:tcPr>
          <w:p w:rsidR="00106C03" w:rsidRPr="000E2699" w:rsidRDefault="00106C03" w:rsidP="008F5AE9">
            <w:pPr>
              <w:spacing w:before="40" w:after="40"/>
              <w:rPr>
                <w:rFonts w:ascii="Arial" w:hAnsi="Arial" w:cs="Arial"/>
                <w:lang w:val="en-US"/>
              </w:rPr>
            </w:pPr>
          </w:p>
        </w:tc>
        <w:tc>
          <w:tcPr>
            <w:tcW w:w="7512" w:type="dxa"/>
          </w:tcPr>
          <w:p w:rsidR="00106C03" w:rsidRPr="000E2699" w:rsidRDefault="00106C03" w:rsidP="008F5AE9">
            <w:pPr>
              <w:pStyle w:val="normaltableau"/>
              <w:tabs>
                <w:tab w:val="left" w:pos="661"/>
              </w:tabs>
              <w:spacing w:before="0" w:after="0"/>
              <w:jc w:val="left"/>
              <w:rPr>
                <w:rFonts w:ascii="Arial" w:hAnsi="Arial" w:cs="Arial"/>
                <w:sz w:val="20"/>
                <w:szCs w:val="24"/>
                <w:lang w:val="en-US"/>
              </w:rPr>
            </w:pPr>
            <w:proofErr w:type="spellStart"/>
            <w:smartTag w:uri="urn:schemas-microsoft-com:office:smarttags" w:element="PlaceName">
              <w:r w:rsidRPr="000E2699">
                <w:rPr>
                  <w:rFonts w:ascii="Arial" w:hAnsi="Arial" w:cs="Arial"/>
                  <w:sz w:val="20"/>
                  <w:szCs w:val="24"/>
                  <w:lang w:val="en-US"/>
                </w:rPr>
                <w:t>Eötvös</w:t>
              </w:r>
            </w:smartTag>
            <w:proofErr w:type="spellEnd"/>
            <w:r w:rsidRPr="000E2699">
              <w:rPr>
                <w:rFonts w:ascii="Arial" w:hAnsi="Arial" w:cs="Arial"/>
                <w:sz w:val="20"/>
                <w:szCs w:val="24"/>
                <w:lang w:val="en-US"/>
              </w:rPr>
              <w:t xml:space="preserve"> </w:t>
            </w:r>
            <w:proofErr w:type="spellStart"/>
            <w:smartTag w:uri="urn:schemas-microsoft-com:office:smarttags" w:element="PlaceName">
              <w:r w:rsidRPr="000E2699">
                <w:rPr>
                  <w:rFonts w:ascii="Arial" w:hAnsi="Arial" w:cs="Arial"/>
                  <w:sz w:val="20"/>
                  <w:szCs w:val="24"/>
                  <w:lang w:val="en-US"/>
                </w:rPr>
                <w:t>Lóránd</w:t>
              </w:r>
            </w:smartTag>
            <w:proofErr w:type="spellEnd"/>
            <w:r w:rsidRPr="000E2699">
              <w:rPr>
                <w:rFonts w:ascii="Arial" w:hAnsi="Arial" w:cs="Arial"/>
                <w:sz w:val="20"/>
                <w:szCs w:val="24"/>
                <w:lang w:val="en-US"/>
              </w:rPr>
              <w:t xml:space="preserve"> </w:t>
            </w:r>
            <w:smartTag w:uri="urn:schemas-microsoft-com:office:smarttags" w:element="PlaceType">
              <w:r w:rsidRPr="000E2699">
                <w:rPr>
                  <w:rFonts w:ascii="Arial" w:hAnsi="Arial" w:cs="Arial"/>
                  <w:sz w:val="20"/>
                  <w:szCs w:val="24"/>
                  <w:lang w:val="en-US"/>
                </w:rPr>
                <w:t>University</w:t>
              </w:r>
            </w:smartTag>
            <w:r w:rsidRPr="000E2699">
              <w:rPr>
                <w:rFonts w:ascii="Arial" w:hAnsi="Arial" w:cs="Arial"/>
                <w:sz w:val="20"/>
                <w:szCs w:val="24"/>
                <w:lang w:val="en-US"/>
              </w:rPr>
              <w:t xml:space="preserve">, </w:t>
            </w:r>
            <w:smartTag w:uri="urn:schemas-microsoft-com:office:smarttags" w:element="City">
              <w:smartTag w:uri="urn:schemas-microsoft-com:office:smarttags" w:element="place">
                <w:r w:rsidRPr="000E2699">
                  <w:rPr>
                    <w:rFonts w:ascii="Arial" w:hAnsi="Arial" w:cs="Arial"/>
                    <w:sz w:val="20"/>
                    <w:szCs w:val="24"/>
                    <w:lang w:val="en-US"/>
                  </w:rPr>
                  <w:t>Budapest</w:t>
                </w:r>
              </w:smartTag>
            </w:smartTag>
          </w:p>
        </w:tc>
      </w:tr>
      <w:tr w:rsidR="00106C03" w:rsidRPr="000E2699" w:rsidTr="000E2699">
        <w:trPr>
          <w:gridAfter w:val="2"/>
          <w:wAfter w:w="7796" w:type="dxa"/>
        </w:trPr>
        <w:tc>
          <w:tcPr>
            <w:tcW w:w="2977" w:type="dxa"/>
          </w:tcPr>
          <w:p w:rsidR="00106C03" w:rsidRPr="000E2699" w:rsidRDefault="00106C03">
            <w:pPr>
              <w:jc w:val="right"/>
              <w:rPr>
                <w:rFonts w:ascii="Arial" w:hAnsi="Arial" w:cs="Arial"/>
                <w:b/>
                <w:sz w:val="24"/>
                <w:lang w:val="en-US"/>
              </w:rPr>
            </w:pPr>
            <w:r w:rsidRPr="000E2699">
              <w:rPr>
                <w:rFonts w:ascii="Arial" w:hAnsi="Arial" w:cs="Arial"/>
                <w:b/>
                <w:lang w:val="en-US"/>
              </w:rPr>
              <w:t xml:space="preserve"> </w:t>
            </w:r>
            <w:r w:rsidRPr="000E2699">
              <w:rPr>
                <w:rFonts w:ascii="Arial" w:hAnsi="Arial" w:cs="Arial"/>
                <w:b/>
                <w:lang w:val="en-US"/>
              </w:rPr>
              <w:br w:type="page"/>
            </w:r>
            <w:r w:rsidR="00B72596" w:rsidRPr="000E2699">
              <w:rPr>
                <w:rFonts w:ascii="Arial" w:hAnsi="Arial" w:cs="Arial"/>
                <w:noProof/>
                <w:lang w:val="hu-HU" w:eastAsia="hu-HU"/>
              </w:rPr>
              <mc:AlternateContent>
                <mc:Choice Requires="wps">
                  <w:drawing>
                    <wp:anchor distT="0" distB="0" distL="114300" distR="114300" simplePos="0" relativeHeight="251656192" behindDoc="0" locked="0" layoutInCell="0" allowOverlap="1" wp14:anchorId="28D9E725" wp14:editId="4A854DCF">
                      <wp:simplePos x="0" y="0"/>
                      <wp:positionH relativeFrom="column">
                        <wp:posOffset>1962150</wp:posOffset>
                      </wp:positionH>
                      <wp:positionV relativeFrom="paragraph">
                        <wp:posOffset>9525</wp:posOffset>
                      </wp:positionV>
                      <wp:extent cx="635" cy="9410700"/>
                      <wp:effectExtent l="0" t="0" r="18415" b="1905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9410700"/>
                              </a:xfrm>
                              <a:custGeom>
                                <a:avLst/>
                                <a:gdLst>
                                  <a:gd name="T0" fmla="*/ 6 w 6"/>
                                  <a:gd name="T1" fmla="*/ 0 h 14921"/>
                                  <a:gd name="T2" fmla="*/ 0 w 6"/>
                                  <a:gd name="T3" fmla="*/ 14921 h 14921"/>
                                </a:gdLst>
                                <a:ahLst/>
                                <a:cxnLst>
                                  <a:cxn ang="0">
                                    <a:pos x="T0" y="T1"/>
                                  </a:cxn>
                                  <a:cxn ang="0">
                                    <a:pos x="T2" y="T3"/>
                                  </a:cxn>
                                </a:cxnLst>
                                <a:rect l="0" t="0" r="r" b="b"/>
                                <a:pathLst>
                                  <a:path w="6" h="14921">
                                    <a:moveTo>
                                      <a:pt x="6" y="0"/>
                                    </a:moveTo>
                                    <a:lnTo>
                                      <a:pt x="0" y="1492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8CE9" id="Freeform 5" o:spid="_x0000_s1026" style="position:absolute;margin-left:154.5pt;margin-top:.75pt;width:.05pt;height:7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" o:allowincell="f" path="m6,l,14921e" filled="f">
                      <v:path arrowok="t" o:connecttype="custom" o:connectlocs="635,0;0,9410700" o:connectangles="0,0"/>
                    </v:shape>
                  </w:pict>
                </mc:Fallback>
              </mc:AlternateContent>
            </w:r>
            <w:r w:rsidRPr="000E2699">
              <w:rPr>
                <w:rFonts w:ascii="Arial" w:hAnsi="Arial" w:cs="Arial"/>
                <w:b/>
                <w:sz w:val="24"/>
                <w:lang w:val="en-US"/>
              </w:rPr>
              <w:br w:type="page"/>
            </w:r>
            <w:r w:rsidRPr="000E2699">
              <w:rPr>
                <w:rFonts w:ascii="Arial" w:hAnsi="Arial" w:cs="Arial"/>
                <w:b/>
                <w:sz w:val="24"/>
                <w:lang w:val="en-US"/>
              </w:rPr>
              <w:br w:type="page"/>
              <w:t>Personal skills and competences</w:t>
            </w:r>
          </w:p>
        </w:tc>
      </w:tr>
    </w:tbl>
    <w:p w:rsidR="00106C03" w:rsidRPr="000E2699" w:rsidRDefault="00106C03">
      <w:pPr>
        <w:rPr>
          <w:rFonts w:ascii="Arial" w:hAnsi="Arial" w:cs="Arial"/>
          <w:b/>
          <w:sz w:val="16"/>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spacing w:before="40" w:after="40"/>
              <w:jc w:val="right"/>
              <w:rPr>
                <w:rFonts w:ascii="Arial" w:hAnsi="Arial" w:cs="Arial"/>
                <w:sz w:val="22"/>
                <w:lang w:val="en-US"/>
              </w:rPr>
            </w:pPr>
            <w:r w:rsidRPr="000E2699">
              <w:rPr>
                <w:rFonts w:ascii="Arial" w:hAnsi="Arial" w:cs="Arial"/>
                <w:sz w:val="22"/>
                <w:lang w:val="en-US"/>
              </w:rPr>
              <w:t>Mother tongue(s)</w:t>
            </w:r>
          </w:p>
        </w:tc>
        <w:tc>
          <w:tcPr>
            <w:tcW w:w="284" w:type="dxa"/>
          </w:tcPr>
          <w:p w:rsidR="00106C03" w:rsidRPr="000E2699" w:rsidRDefault="00106C03">
            <w:pPr>
              <w:spacing w:before="40" w:after="40"/>
              <w:rPr>
                <w:rFonts w:ascii="Arial" w:hAnsi="Arial" w:cs="Arial"/>
                <w:b/>
                <w:lang w:val="en-US"/>
              </w:rPr>
            </w:pPr>
          </w:p>
        </w:tc>
        <w:tc>
          <w:tcPr>
            <w:tcW w:w="7512" w:type="dxa"/>
          </w:tcPr>
          <w:p w:rsidR="00106C03" w:rsidRPr="000E2699" w:rsidRDefault="00106C03">
            <w:pPr>
              <w:spacing w:before="40" w:after="40"/>
              <w:rPr>
                <w:rFonts w:ascii="Arial" w:hAnsi="Arial" w:cs="Arial"/>
                <w:b/>
                <w:sz w:val="22"/>
                <w:lang w:val="en-US"/>
              </w:rPr>
            </w:pPr>
            <w:r w:rsidRPr="000E2699">
              <w:rPr>
                <w:rFonts w:ascii="Arial" w:hAnsi="Arial" w:cs="Arial"/>
                <w:b/>
                <w:sz w:val="22"/>
                <w:lang w:val="en-US"/>
              </w:rPr>
              <w:t>Hungarian</w:t>
            </w:r>
          </w:p>
        </w:tc>
      </w:tr>
    </w:tbl>
    <w:p w:rsidR="00106C03" w:rsidRPr="000E2699" w:rsidRDefault="00106C03">
      <w:pPr>
        <w:rPr>
          <w:rFonts w:ascii="Arial" w:hAnsi="Arial" w:cs="Arial"/>
          <w:b/>
          <w:sz w:val="16"/>
          <w:lang w:val="en-US"/>
        </w:rPr>
      </w:pPr>
    </w:p>
    <w:tbl>
      <w:tblPr>
        <w:tblW w:w="0" w:type="auto"/>
        <w:tblInd w:w="108" w:type="dxa"/>
        <w:tblLayout w:type="fixed"/>
        <w:tblLook w:val="0000" w:firstRow="0" w:lastRow="0" w:firstColumn="0" w:lastColumn="0" w:noHBand="0" w:noVBand="0"/>
      </w:tblPr>
      <w:tblGrid>
        <w:gridCol w:w="2977"/>
        <w:gridCol w:w="284"/>
        <w:gridCol w:w="1503"/>
        <w:gridCol w:w="1503"/>
        <w:gridCol w:w="1503"/>
        <w:gridCol w:w="1503"/>
        <w:gridCol w:w="1500"/>
      </w:tblGrid>
      <w:tr w:rsidR="00106C03" w:rsidRPr="000E2699">
        <w:trPr>
          <w:gridAfter w:val="6"/>
          <w:wAfter w:w="7796" w:type="dxa"/>
        </w:trPr>
        <w:tc>
          <w:tcPr>
            <w:tcW w:w="2977" w:type="dxa"/>
          </w:tcPr>
          <w:p w:rsidR="00106C03" w:rsidRPr="000E2699" w:rsidRDefault="00106C03">
            <w:pPr>
              <w:spacing w:before="40" w:after="40"/>
              <w:jc w:val="right"/>
              <w:rPr>
                <w:rFonts w:ascii="Arial" w:hAnsi="Arial" w:cs="Arial"/>
                <w:sz w:val="22"/>
                <w:lang w:val="en-US"/>
              </w:rPr>
            </w:pPr>
            <w:r w:rsidRPr="000E2699">
              <w:rPr>
                <w:rFonts w:ascii="Arial" w:hAnsi="Arial" w:cs="Arial"/>
                <w:sz w:val="22"/>
                <w:lang w:val="en-US"/>
              </w:rPr>
              <w:br w:type="page"/>
              <w:t>Other language(s)</w:t>
            </w:r>
          </w:p>
        </w:tc>
      </w:tr>
      <w:tr w:rsidR="00106C03" w:rsidRPr="000E2699">
        <w:tc>
          <w:tcPr>
            <w:tcW w:w="2977" w:type="dxa"/>
            <w:shd w:val="clear" w:color="auto" w:fill="FFFFFF"/>
          </w:tcPr>
          <w:p w:rsidR="00106C03" w:rsidRPr="000E2699" w:rsidRDefault="00106C03">
            <w:pPr>
              <w:spacing w:before="40" w:after="40"/>
              <w:jc w:val="right"/>
              <w:rPr>
                <w:rFonts w:ascii="Arial" w:hAnsi="Arial" w:cs="Arial"/>
                <w:i/>
                <w:sz w:val="22"/>
                <w:lang w:val="en-US"/>
              </w:rPr>
            </w:pPr>
            <w:r w:rsidRPr="000E2699">
              <w:rPr>
                <w:rFonts w:ascii="Arial" w:hAnsi="Arial" w:cs="Arial"/>
                <w:i/>
                <w:sz w:val="22"/>
                <w:lang w:val="en-US"/>
              </w:rPr>
              <w:t>Self-assessment</w:t>
            </w:r>
          </w:p>
        </w:tc>
        <w:tc>
          <w:tcPr>
            <w:tcW w:w="284" w:type="dxa"/>
            <w:tcBorders>
              <w:right w:val="single" w:sz="4" w:space="0" w:color="auto"/>
            </w:tcBorders>
            <w:shd w:val="clear" w:color="auto" w:fill="FFFFFF"/>
          </w:tcPr>
          <w:p w:rsidR="00106C03" w:rsidRPr="000E2699" w:rsidRDefault="00106C03">
            <w:pPr>
              <w:spacing w:before="40" w:after="40"/>
              <w:rPr>
                <w:rFonts w:ascii="Arial" w:hAnsi="Arial" w:cs="Arial"/>
                <w:lang w:val="en-US"/>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106C03" w:rsidRPr="000E2699" w:rsidRDefault="00106C03">
            <w:pPr>
              <w:pStyle w:val="Heading4"/>
              <w:rPr>
                <w:rFonts w:ascii="Arial" w:hAnsi="Arial" w:cs="Arial"/>
                <w:sz w:val="22"/>
                <w:lang w:val="en-US"/>
              </w:rPr>
            </w:pPr>
            <w:r w:rsidRPr="000E2699">
              <w:rPr>
                <w:rFonts w:ascii="Arial" w:hAnsi="Arial" w:cs="Arial"/>
                <w:sz w:val="22"/>
                <w:lang w:val="en-US"/>
              </w:rPr>
              <w:t>Understanding</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106C03" w:rsidRPr="000E2699" w:rsidRDefault="00106C03">
            <w:pPr>
              <w:spacing w:before="40" w:after="40"/>
              <w:ind w:left="-104" w:right="-108"/>
              <w:jc w:val="center"/>
              <w:rPr>
                <w:rFonts w:ascii="Arial" w:hAnsi="Arial" w:cs="Arial"/>
                <w:b/>
                <w:sz w:val="22"/>
                <w:lang w:val="en-US"/>
              </w:rPr>
            </w:pPr>
            <w:r w:rsidRPr="000E2699">
              <w:rPr>
                <w:rFonts w:ascii="Arial" w:hAnsi="Arial" w:cs="Arial"/>
                <w:b/>
                <w:sz w:val="22"/>
                <w:lang w:val="en-US"/>
              </w:rPr>
              <w:t>Speaking</w:t>
            </w:r>
          </w:p>
        </w:tc>
        <w:tc>
          <w:tcPr>
            <w:tcW w:w="1500" w:type="dxa"/>
            <w:tcBorders>
              <w:top w:val="single" w:sz="4" w:space="0" w:color="auto"/>
              <w:left w:val="single" w:sz="4" w:space="0" w:color="auto"/>
              <w:right w:val="single" w:sz="4" w:space="0" w:color="auto"/>
            </w:tcBorders>
            <w:shd w:val="clear" w:color="auto" w:fill="FFFFFF"/>
          </w:tcPr>
          <w:p w:rsidR="00106C03" w:rsidRPr="000E2699" w:rsidRDefault="00106C03">
            <w:pPr>
              <w:spacing w:before="40" w:after="40"/>
              <w:ind w:left="-104" w:right="-108"/>
              <w:jc w:val="center"/>
              <w:rPr>
                <w:rFonts w:ascii="Arial" w:hAnsi="Arial" w:cs="Arial"/>
                <w:b/>
                <w:sz w:val="22"/>
                <w:lang w:val="en-US"/>
              </w:rPr>
            </w:pPr>
            <w:r w:rsidRPr="000E2699">
              <w:rPr>
                <w:rFonts w:ascii="Arial" w:hAnsi="Arial" w:cs="Arial"/>
                <w:b/>
                <w:sz w:val="22"/>
                <w:lang w:val="en-US"/>
              </w:rPr>
              <w:t>Writing</w:t>
            </w:r>
          </w:p>
        </w:tc>
      </w:tr>
      <w:tr w:rsidR="00106C03" w:rsidRPr="000E2699">
        <w:tc>
          <w:tcPr>
            <w:tcW w:w="2977" w:type="dxa"/>
            <w:shd w:val="clear" w:color="auto" w:fill="FFFFFF"/>
          </w:tcPr>
          <w:p w:rsidR="00106C03" w:rsidRPr="000E2699" w:rsidRDefault="00106C03">
            <w:pPr>
              <w:spacing w:before="40" w:after="40"/>
              <w:jc w:val="right"/>
              <w:rPr>
                <w:rFonts w:ascii="Arial" w:hAnsi="Arial" w:cs="Arial"/>
                <w:i/>
                <w:lang w:val="en-US"/>
              </w:rPr>
            </w:pPr>
            <w:r w:rsidRPr="000E2699">
              <w:rPr>
                <w:rFonts w:ascii="Arial" w:hAnsi="Arial" w:cs="Arial"/>
                <w:i/>
                <w:lang w:val="en-US"/>
              </w:rPr>
              <w:t xml:space="preserve"> European level </w:t>
            </w:r>
            <w:r w:rsidRPr="000E2699">
              <w:rPr>
                <w:rFonts w:ascii="Arial" w:hAnsi="Arial" w:cs="Arial"/>
                <w:i/>
                <w:vertAlign w:val="superscript"/>
                <w:lang w:val="en-US"/>
              </w:rPr>
              <w:t>(*)</w:t>
            </w:r>
            <w:r w:rsidRPr="000E2699">
              <w:rPr>
                <w:rFonts w:ascii="Arial" w:hAnsi="Arial" w:cs="Arial"/>
                <w:i/>
                <w:lang w:val="en-US"/>
              </w:rPr>
              <w:t xml:space="preserve"> </w:t>
            </w:r>
          </w:p>
        </w:tc>
        <w:tc>
          <w:tcPr>
            <w:tcW w:w="284" w:type="dxa"/>
            <w:tcBorders>
              <w:right w:val="single" w:sz="4" w:space="0" w:color="auto"/>
            </w:tcBorders>
            <w:shd w:val="clear" w:color="auto" w:fill="FFFFFF"/>
          </w:tcPr>
          <w:p w:rsidR="00106C03" w:rsidRPr="000E2699" w:rsidRDefault="00106C03">
            <w:pPr>
              <w:spacing w:before="40" w:after="40"/>
              <w:rPr>
                <w:rFonts w:ascii="Arial" w:hAnsi="Arial" w:cs="Arial"/>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8"/>
                <w:lang w:val="en-US"/>
              </w:rPr>
            </w:pPr>
            <w:r w:rsidRPr="000E2699">
              <w:rPr>
                <w:rFonts w:ascii="Arial" w:hAnsi="Arial" w:cs="Arial"/>
                <w:sz w:val="18"/>
                <w:lang w:val="en-US"/>
              </w:rPr>
              <w:t>Listening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8"/>
                <w:lang w:val="en-US"/>
              </w:rPr>
            </w:pPr>
            <w:smartTag w:uri="urn:schemas-microsoft-com:office:smarttags" w:element="City">
              <w:smartTag w:uri="urn:schemas-microsoft-com:office:smarttags" w:element="place">
                <w:r w:rsidRPr="000E2699">
                  <w:rPr>
                    <w:rFonts w:ascii="Arial" w:hAnsi="Arial" w:cs="Arial"/>
                    <w:sz w:val="18"/>
                    <w:lang w:val="en-US"/>
                  </w:rPr>
                  <w:t>Reading</w:t>
                </w:r>
              </w:smartTag>
            </w:smartTag>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8"/>
                <w:lang w:val="en-US"/>
              </w:rPr>
            </w:pPr>
            <w:r w:rsidRPr="000E2699">
              <w:rPr>
                <w:rFonts w:ascii="Arial" w:hAnsi="Arial" w:cs="Arial"/>
                <w:sz w:val="18"/>
                <w:lang w:val="en-US"/>
              </w:rPr>
              <w:t>Spoken interaction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8"/>
                <w:lang w:val="en-US"/>
              </w:rPr>
            </w:pPr>
            <w:r w:rsidRPr="000E2699">
              <w:rPr>
                <w:rFonts w:ascii="Arial" w:hAnsi="Arial" w:cs="Arial"/>
                <w:sz w:val="18"/>
                <w:lang w:val="en-US"/>
              </w:rPr>
              <w:t>Spoken production</w:t>
            </w:r>
          </w:p>
        </w:tc>
        <w:tc>
          <w:tcPr>
            <w:tcW w:w="1500" w:type="dxa"/>
            <w:tcBorders>
              <w:left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8"/>
                <w:lang w:val="en-US"/>
              </w:rPr>
            </w:pPr>
          </w:p>
        </w:tc>
      </w:tr>
    </w:tbl>
    <w:p w:rsidR="00106C03" w:rsidRPr="000E2699" w:rsidRDefault="00106C03">
      <w:pPr>
        <w:rPr>
          <w:rFonts w:ascii="Arial" w:hAnsi="Arial" w:cs="Arial"/>
          <w:sz w:val="2"/>
          <w:lang w:val="en-US"/>
        </w:rPr>
      </w:pPr>
    </w:p>
    <w:tbl>
      <w:tblPr>
        <w:tblW w:w="0" w:type="auto"/>
        <w:tblInd w:w="108" w:type="dxa"/>
        <w:tblLayout w:type="fixed"/>
        <w:tblLook w:val="0000" w:firstRow="0" w:lastRow="0" w:firstColumn="0" w:lastColumn="0" w:noHBand="0" w:noVBand="0"/>
      </w:tblPr>
      <w:tblGrid>
        <w:gridCol w:w="2977"/>
        <w:gridCol w:w="284"/>
        <w:gridCol w:w="283"/>
        <w:gridCol w:w="1219"/>
        <w:gridCol w:w="284"/>
        <w:gridCol w:w="1219"/>
        <w:gridCol w:w="284"/>
        <w:gridCol w:w="1219"/>
        <w:gridCol w:w="284"/>
        <w:gridCol w:w="1219"/>
        <w:gridCol w:w="284"/>
        <w:gridCol w:w="1219"/>
      </w:tblGrid>
      <w:tr w:rsidR="00106C03" w:rsidRPr="000E2699">
        <w:trPr>
          <w:cantSplit/>
        </w:trPr>
        <w:tc>
          <w:tcPr>
            <w:tcW w:w="2977" w:type="dxa"/>
            <w:shd w:val="clear" w:color="auto" w:fill="FFFFFF"/>
          </w:tcPr>
          <w:p w:rsidR="00106C03" w:rsidRPr="000E2699" w:rsidRDefault="00106C03">
            <w:pPr>
              <w:pStyle w:val="Heading5"/>
              <w:rPr>
                <w:rFonts w:ascii="Arial" w:hAnsi="Arial" w:cs="Arial"/>
                <w:i/>
                <w:lang w:val="en-US"/>
              </w:rPr>
            </w:pPr>
            <w:r w:rsidRPr="000E2699">
              <w:rPr>
                <w:rFonts w:ascii="Arial" w:hAnsi="Arial" w:cs="Arial"/>
                <w:i/>
                <w:lang w:val="en-US"/>
              </w:rPr>
              <w:t>English</w:t>
            </w:r>
          </w:p>
        </w:tc>
        <w:tc>
          <w:tcPr>
            <w:tcW w:w="284" w:type="dxa"/>
            <w:shd w:val="clear" w:color="auto" w:fill="FFFFFF"/>
          </w:tcPr>
          <w:p w:rsidR="00106C03" w:rsidRPr="000E2699" w:rsidRDefault="00106C03">
            <w:pPr>
              <w:spacing w:before="40" w:after="40"/>
              <w:rPr>
                <w:rFonts w:ascii="Arial" w:hAnsi="Arial" w:cs="Arial"/>
                <w:lang w:val="en-US"/>
              </w:rPr>
            </w:pPr>
          </w:p>
        </w:tc>
        <w:tc>
          <w:tcPr>
            <w:tcW w:w="283" w:type="dxa"/>
            <w:tcBorders>
              <w:top w:val="single" w:sz="4" w:space="0" w:color="auto"/>
              <w:left w:val="single" w:sz="4" w:space="0" w:color="auto"/>
              <w:bottom w:val="single" w:sz="4" w:space="0" w:color="auto"/>
            </w:tcBorders>
            <w:shd w:val="clear" w:color="auto" w:fill="FFFFFF"/>
          </w:tcPr>
          <w:p w:rsidR="00106C03" w:rsidRPr="000E2699" w:rsidRDefault="00106C03">
            <w:pPr>
              <w:spacing w:before="40" w:after="40"/>
              <w:ind w:left="-102" w:right="-108"/>
              <w:jc w:val="center"/>
              <w:rPr>
                <w:rFonts w:ascii="Arial" w:hAnsi="Arial" w:cs="Arial"/>
                <w:sz w:val="16"/>
                <w:lang w:val="en-US"/>
              </w:rPr>
            </w:pPr>
          </w:p>
        </w:tc>
        <w:tc>
          <w:tcPr>
            <w:tcW w:w="1219" w:type="dxa"/>
            <w:tcBorders>
              <w:top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6"/>
                <w:lang w:val="en-US"/>
              </w:rPr>
            </w:pPr>
            <w:r w:rsidRPr="000E2699">
              <w:rPr>
                <w:rFonts w:ascii="Arial" w:hAnsi="Arial" w:cs="Arial"/>
                <w:sz w:val="16"/>
                <w:lang w:val="en-US"/>
              </w:rPr>
              <w:t>1</w:t>
            </w:r>
          </w:p>
        </w:tc>
        <w:tc>
          <w:tcPr>
            <w:tcW w:w="284" w:type="dxa"/>
            <w:tcBorders>
              <w:top w:val="single" w:sz="4" w:space="0" w:color="auto"/>
              <w:left w:val="single" w:sz="4" w:space="0" w:color="auto"/>
              <w:bottom w:val="single" w:sz="4" w:space="0" w:color="auto"/>
            </w:tcBorders>
            <w:shd w:val="clear" w:color="auto" w:fill="FFFFFF"/>
          </w:tcPr>
          <w:p w:rsidR="00106C03" w:rsidRPr="000E2699" w:rsidRDefault="00106C03">
            <w:pPr>
              <w:spacing w:before="40" w:after="40"/>
              <w:ind w:left="-104" w:right="-108"/>
              <w:jc w:val="center"/>
              <w:rPr>
                <w:rFonts w:ascii="Arial" w:hAnsi="Arial" w:cs="Arial"/>
                <w:sz w:val="16"/>
                <w:lang w:val="en-US"/>
              </w:rPr>
            </w:pPr>
          </w:p>
        </w:tc>
        <w:tc>
          <w:tcPr>
            <w:tcW w:w="1219" w:type="dxa"/>
            <w:tcBorders>
              <w:top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6"/>
                <w:lang w:val="en-US"/>
              </w:rPr>
            </w:pPr>
            <w:r w:rsidRPr="000E2699">
              <w:rPr>
                <w:rFonts w:ascii="Arial" w:hAnsi="Arial" w:cs="Arial"/>
                <w:sz w:val="16"/>
                <w:lang w:val="en-US"/>
              </w:rPr>
              <w:t>1</w:t>
            </w:r>
          </w:p>
        </w:tc>
        <w:tc>
          <w:tcPr>
            <w:tcW w:w="284" w:type="dxa"/>
            <w:tcBorders>
              <w:top w:val="single" w:sz="4" w:space="0" w:color="auto"/>
              <w:left w:val="single" w:sz="4" w:space="0" w:color="auto"/>
              <w:bottom w:val="single" w:sz="4" w:space="0" w:color="auto"/>
            </w:tcBorders>
            <w:shd w:val="clear" w:color="auto" w:fill="FFFFFF"/>
          </w:tcPr>
          <w:p w:rsidR="00106C03" w:rsidRPr="000E2699" w:rsidRDefault="00106C03">
            <w:pPr>
              <w:spacing w:before="40" w:after="40"/>
              <w:ind w:left="-104" w:right="-108"/>
              <w:jc w:val="center"/>
              <w:rPr>
                <w:rFonts w:ascii="Arial" w:hAnsi="Arial" w:cs="Arial"/>
                <w:sz w:val="16"/>
                <w:lang w:val="en-US"/>
              </w:rPr>
            </w:pPr>
          </w:p>
        </w:tc>
        <w:tc>
          <w:tcPr>
            <w:tcW w:w="1219" w:type="dxa"/>
            <w:tcBorders>
              <w:top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6"/>
                <w:lang w:val="en-US"/>
              </w:rPr>
            </w:pPr>
            <w:r w:rsidRPr="000E2699">
              <w:rPr>
                <w:rFonts w:ascii="Arial" w:hAnsi="Arial" w:cs="Arial"/>
                <w:sz w:val="16"/>
                <w:lang w:val="en-US"/>
              </w:rPr>
              <w:t>1</w:t>
            </w:r>
          </w:p>
        </w:tc>
        <w:tc>
          <w:tcPr>
            <w:tcW w:w="284" w:type="dxa"/>
            <w:tcBorders>
              <w:top w:val="single" w:sz="4" w:space="0" w:color="auto"/>
              <w:left w:val="single" w:sz="4" w:space="0" w:color="auto"/>
              <w:bottom w:val="single" w:sz="4" w:space="0" w:color="auto"/>
            </w:tcBorders>
            <w:shd w:val="clear" w:color="auto" w:fill="FFFFFF"/>
          </w:tcPr>
          <w:p w:rsidR="00106C03" w:rsidRPr="000E2699" w:rsidRDefault="00106C03">
            <w:pPr>
              <w:spacing w:before="40" w:after="40"/>
              <w:ind w:left="-104" w:right="-108"/>
              <w:jc w:val="center"/>
              <w:rPr>
                <w:rFonts w:ascii="Arial" w:hAnsi="Arial" w:cs="Arial"/>
                <w:sz w:val="16"/>
                <w:lang w:val="en-US"/>
              </w:rPr>
            </w:pPr>
          </w:p>
        </w:tc>
        <w:tc>
          <w:tcPr>
            <w:tcW w:w="1219" w:type="dxa"/>
            <w:tcBorders>
              <w:top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6"/>
                <w:lang w:val="en-US"/>
              </w:rPr>
            </w:pPr>
            <w:r w:rsidRPr="000E2699">
              <w:rPr>
                <w:rFonts w:ascii="Arial" w:hAnsi="Arial" w:cs="Arial"/>
                <w:sz w:val="16"/>
                <w:lang w:val="en-US"/>
              </w:rPr>
              <w:t>1</w:t>
            </w:r>
          </w:p>
        </w:tc>
        <w:tc>
          <w:tcPr>
            <w:tcW w:w="284" w:type="dxa"/>
            <w:tcBorders>
              <w:top w:val="single" w:sz="4" w:space="0" w:color="auto"/>
              <w:left w:val="single" w:sz="4" w:space="0" w:color="auto"/>
              <w:bottom w:val="single" w:sz="4" w:space="0" w:color="auto"/>
            </w:tcBorders>
            <w:shd w:val="clear" w:color="auto" w:fill="FFFFFF"/>
          </w:tcPr>
          <w:p w:rsidR="00106C03" w:rsidRPr="000E2699" w:rsidRDefault="00106C03">
            <w:pPr>
              <w:spacing w:before="40" w:after="40"/>
              <w:ind w:left="-104" w:right="-108"/>
              <w:jc w:val="center"/>
              <w:rPr>
                <w:rFonts w:ascii="Arial" w:hAnsi="Arial" w:cs="Arial"/>
                <w:sz w:val="16"/>
                <w:lang w:val="en-US"/>
              </w:rPr>
            </w:pPr>
          </w:p>
        </w:tc>
        <w:tc>
          <w:tcPr>
            <w:tcW w:w="1219" w:type="dxa"/>
            <w:tcBorders>
              <w:top w:val="single" w:sz="4" w:space="0" w:color="auto"/>
              <w:bottom w:val="single" w:sz="4" w:space="0" w:color="auto"/>
              <w:right w:val="single" w:sz="4" w:space="0" w:color="auto"/>
            </w:tcBorders>
            <w:shd w:val="clear" w:color="auto" w:fill="FFFFFF"/>
          </w:tcPr>
          <w:p w:rsidR="00106C03" w:rsidRPr="000E2699" w:rsidRDefault="00106C03">
            <w:pPr>
              <w:spacing w:before="40" w:after="40"/>
              <w:ind w:left="-102" w:right="-108"/>
              <w:jc w:val="center"/>
              <w:rPr>
                <w:rFonts w:ascii="Arial" w:hAnsi="Arial" w:cs="Arial"/>
                <w:sz w:val="16"/>
                <w:lang w:val="en-US"/>
              </w:rPr>
            </w:pPr>
            <w:r w:rsidRPr="000E2699">
              <w:rPr>
                <w:rFonts w:ascii="Arial" w:hAnsi="Arial" w:cs="Arial"/>
                <w:sz w:val="16"/>
                <w:lang w:val="en-US"/>
              </w:rPr>
              <w:t>1</w:t>
            </w:r>
          </w:p>
        </w:tc>
      </w:tr>
      <w:tr w:rsidR="00106C03" w:rsidRPr="000E2699">
        <w:trPr>
          <w:gridBefore w:val="2"/>
          <w:wBefore w:w="3261" w:type="dxa"/>
          <w:cantSplit/>
        </w:trPr>
        <w:tc>
          <w:tcPr>
            <w:tcW w:w="7514" w:type="dxa"/>
            <w:gridSpan w:val="10"/>
            <w:shd w:val="clear" w:color="auto" w:fill="FFFFFF"/>
          </w:tcPr>
          <w:p w:rsidR="00106C03" w:rsidRPr="000E2699" w:rsidRDefault="00106C03">
            <w:pPr>
              <w:spacing w:before="20"/>
              <w:rPr>
                <w:rFonts w:ascii="Arial" w:hAnsi="Arial" w:cs="Arial"/>
                <w:i/>
                <w:color w:val="000000"/>
                <w:sz w:val="16"/>
                <w:lang w:val="en-US"/>
              </w:rPr>
            </w:pPr>
            <w:r w:rsidRPr="000E2699">
              <w:rPr>
                <w:rFonts w:ascii="Arial" w:hAnsi="Arial" w:cs="Arial"/>
                <w:i/>
                <w:color w:val="000000"/>
                <w:sz w:val="16"/>
                <w:vertAlign w:val="superscript"/>
                <w:lang w:val="en-US"/>
              </w:rPr>
              <w:t xml:space="preserve">(*) </w:t>
            </w:r>
            <w:r w:rsidRPr="000E2699">
              <w:rPr>
                <w:rFonts w:ascii="Arial" w:hAnsi="Arial" w:cs="Arial"/>
                <w:i/>
                <w:sz w:val="18"/>
                <w:lang w:val="en-US"/>
              </w:rPr>
              <w:t>Common European Framework of Reference (CEF) level</w:t>
            </w:r>
          </w:p>
        </w:tc>
      </w:tr>
    </w:tbl>
    <w:p w:rsidR="00106C03" w:rsidRPr="000E2699" w:rsidRDefault="00106C03">
      <w:pPr>
        <w:rPr>
          <w:rFonts w:ascii="Arial" w:hAnsi="Arial" w:cs="Arial"/>
          <w:b/>
          <w:sz w:val="16"/>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spacing w:before="40" w:after="40"/>
              <w:jc w:val="right"/>
              <w:rPr>
                <w:rFonts w:ascii="Arial" w:hAnsi="Arial" w:cs="Arial"/>
                <w:sz w:val="22"/>
                <w:lang w:val="en-US"/>
              </w:rPr>
            </w:pPr>
            <w:r w:rsidRPr="000E2699">
              <w:rPr>
                <w:rFonts w:ascii="Arial" w:hAnsi="Arial" w:cs="Arial"/>
                <w:sz w:val="22"/>
                <w:lang w:val="en-US"/>
              </w:rPr>
              <w:t>Social skills and competences</w:t>
            </w:r>
          </w:p>
        </w:tc>
        <w:tc>
          <w:tcPr>
            <w:tcW w:w="284" w:type="dxa"/>
          </w:tcPr>
          <w:p w:rsidR="00106C03" w:rsidRPr="000E2699" w:rsidRDefault="00106C03">
            <w:pPr>
              <w:spacing w:before="40" w:after="40"/>
              <w:rPr>
                <w:rFonts w:ascii="Arial" w:hAnsi="Arial" w:cs="Arial"/>
                <w:lang w:val="en-US"/>
              </w:rPr>
            </w:pPr>
          </w:p>
        </w:tc>
        <w:tc>
          <w:tcPr>
            <w:tcW w:w="7512" w:type="dxa"/>
          </w:tcPr>
          <w:p w:rsidR="00106C03" w:rsidRPr="000E2699" w:rsidRDefault="00106C03" w:rsidP="00BD5C35">
            <w:pPr>
              <w:rPr>
                <w:rFonts w:ascii="Arial" w:hAnsi="Arial" w:cs="Arial"/>
                <w:i/>
                <w:lang w:val="en-US"/>
              </w:rPr>
            </w:pPr>
            <w:r w:rsidRPr="000E2699">
              <w:rPr>
                <w:rFonts w:ascii="Arial" w:hAnsi="Arial" w:cs="Arial"/>
                <w:i/>
                <w:lang w:val="en-US"/>
              </w:rPr>
              <w:t>Communication skills:</w:t>
            </w:r>
          </w:p>
          <w:p w:rsidR="00106C03" w:rsidRPr="000E2699" w:rsidRDefault="00106C03" w:rsidP="00BD5C35">
            <w:pPr>
              <w:pStyle w:val="Header"/>
              <w:tabs>
                <w:tab w:val="clear" w:pos="4153"/>
                <w:tab w:val="clear" w:pos="8306"/>
              </w:tabs>
              <w:spacing w:before="40" w:after="40"/>
              <w:rPr>
                <w:rFonts w:ascii="Arial" w:hAnsi="Arial" w:cs="Arial"/>
                <w:lang w:val="en-US"/>
              </w:rPr>
            </w:pPr>
            <w:r w:rsidRPr="000E2699">
              <w:rPr>
                <w:rFonts w:ascii="Arial" w:hAnsi="Arial" w:cs="Arial"/>
                <w:lang w:val="en-US"/>
              </w:rPr>
              <w:t>Teaching, presenting, discussing</w:t>
            </w:r>
            <w:r w:rsidR="000E2699" w:rsidRPr="000E2699">
              <w:rPr>
                <w:rFonts w:ascii="Arial" w:hAnsi="Arial" w:cs="Arial"/>
                <w:lang w:val="en-US"/>
              </w:rPr>
              <w:t>, writing</w:t>
            </w:r>
            <w:r w:rsidRPr="000E2699">
              <w:rPr>
                <w:rFonts w:ascii="Arial" w:hAnsi="Arial" w:cs="Arial"/>
                <w:lang w:val="en-US"/>
              </w:rPr>
              <w:t xml:space="preserve"> and facilitating in English and Hungarian </w:t>
            </w:r>
          </w:p>
        </w:tc>
      </w:tr>
    </w:tbl>
    <w:p w:rsidR="00106C03" w:rsidRPr="000E2699" w:rsidRDefault="00106C03">
      <w:pPr>
        <w:rPr>
          <w:rFonts w:ascii="Arial" w:hAnsi="Arial" w:cs="Arial"/>
          <w:sz w:val="16"/>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jc w:val="right"/>
              <w:rPr>
                <w:rFonts w:ascii="Arial" w:hAnsi="Arial" w:cs="Arial"/>
                <w:spacing w:val="-6"/>
                <w:sz w:val="22"/>
                <w:lang w:val="en-US"/>
              </w:rPr>
            </w:pPr>
            <w:proofErr w:type="spellStart"/>
            <w:r w:rsidRPr="000E2699">
              <w:rPr>
                <w:rFonts w:ascii="Arial" w:hAnsi="Arial" w:cs="Arial"/>
                <w:spacing w:val="-6"/>
                <w:sz w:val="22"/>
                <w:lang w:val="en-US"/>
              </w:rPr>
              <w:t>Organisational</w:t>
            </w:r>
            <w:proofErr w:type="spellEnd"/>
            <w:r w:rsidRPr="000E2699">
              <w:rPr>
                <w:rFonts w:ascii="Arial" w:hAnsi="Arial" w:cs="Arial"/>
                <w:spacing w:val="-6"/>
                <w:sz w:val="22"/>
                <w:lang w:val="en-US"/>
              </w:rPr>
              <w:t xml:space="preserve"> skills and competences</w:t>
            </w:r>
          </w:p>
        </w:tc>
        <w:tc>
          <w:tcPr>
            <w:tcW w:w="284" w:type="dxa"/>
          </w:tcPr>
          <w:p w:rsidR="00106C03" w:rsidRPr="000E2699" w:rsidRDefault="00106C03">
            <w:pPr>
              <w:rPr>
                <w:rFonts w:ascii="Arial" w:hAnsi="Arial" w:cs="Arial"/>
                <w:lang w:val="en-US"/>
              </w:rPr>
            </w:pPr>
          </w:p>
        </w:tc>
        <w:tc>
          <w:tcPr>
            <w:tcW w:w="7512" w:type="dxa"/>
          </w:tcPr>
          <w:p w:rsidR="00106C03" w:rsidRPr="000E2699" w:rsidRDefault="00106C03">
            <w:pPr>
              <w:spacing w:before="20"/>
              <w:rPr>
                <w:rFonts w:ascii="Arial" w:hAnsi="Arial" w:cs="Arial"/>
                <w:lang w:val="en-US"/>
              </w:rPr>
            </w:pPr>
            <w:r w:rsidRPr="000E2699">
              <w:rPr>
                <w:rFonts w:ascii="Arial" w:hAnsi="Arial" w:cs="Arial"/>
                <w:lang w:val="en-US"/>
              </w:rPr>
              <w:t xml:space="preserve">Organizational and project management, teamworking and </w:t>
            </w:r>
            <w:proofErr w:type="spellStart"/>
            <w:r w:rsidRPr="000E2699">
              <w:rPr>
                <w:rFonts w:ascii="Arial" w:hAnsi="Arial" w:cs="Arial"/>
                <w:lang w:val="en-US"/>
              </w:rPr>
              <w:t>teamleading</w:t>
            </w:r>
            <w:proofErr w:type="spellEnd"/>
            <w:r w:rsidRPr="000E2699">
              <w:rPr>
                <w:rFonts w:ascii="Arial" w:hAnsi="Arial" w:cs="Arial"/>
                <w:lang w:val="en-US"/>
              </w:rPr>
              <w:t xml:space="preserve">, </w:t>
            </w:r>
          </w:p>
        </w:tc>
      </w:tr>
    </w:tbl>
    <w:p w:rsidR="00106C03" w:rsidRPr="000E2699" w:rsidRDefault="00106C03">
      <w:pPr>
        <w:rPr>
          <w:rFonts w:ascii="Arial" w:hAnsi="Arial" w:cs="Arial"/>
          <w:sz w:val="16"/>
          <w:lang w:val="en-US"/>
        </w:rPr>
      </w:pPr>
    </w:p>
    <w:p w:rsidR="00106C03" w:rsidRPr="000E2699" w:rsidRDefault="00106C03">
      <w:pPr>
        <w:rPr>
          <w:rFonts w:ascii="Arial" w:hAnsi="Arial" w:cs="Arial"/>
          <w:sz w:val="16"/>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jc w:val="right"/>
              <w:rPr>
                <w:rFonts w:ascii="Arial" w:hAnsi="Arial" w:cs="Arial"/>
                <w:sz w:val="22"/>
                <w:lang w:val="en-US"/>
              </w:rPr>
            </w:pPr>
            <w:r w:rsidRPr="000E2699">
              <w:rPr>
                <w:rFonts w:ascii="Arial" w:hAnsi="Arial" w:cs="Arial"/>
                <w:sz w:val="22"/>
                <w:lang w:val="en-US"/>
              </w:rPr>
              <w:t>Computer skills and competences</w:t>
            </w:r>
          </w:p>
        </w:tc>
        <w:tc>
          <w:tcPr>
            <w:tcW w:w="284" w:type="dxa"/>
          </w:tcPr>
          <w:p w:rsidR="00106C03" w:rsidRPr="000E2699" w:rsidRDefault="00106C03">
            <w:pPr>
              <w:rPr>
                <w:rFonts w:ascii="Arial" w:hAnsi="Arial" w:cs="Arial"/>
                <w:lang w:val="en-US"/>
              </w:rPr>
            </w:pPr>
          </w:p>
        </w:tc>
        <w:tc>
          <w:tcPr>
            <w:tcW w:w="7512" w:type="dxa"/>
          </w:tcPr>
          <w:p w:rsidR="00106C03" w:rsidRPr="000E2699" w:rsidRDefault="00106C03" w:rsidP="002D5E5E">
            <w:pPr>
              <w:jc w:val="both"/>
              <w:rPr>
                <w:rFonts w:ascii="Arial" w:hAnsi="Arial" w:cs="Arial"/>
                <w:i/>
                <w:iCs/>
                <w:lang w:val="en-US"/>
              </w:rPr>
            </w:pPr>
            <w:r w:rsidRPr="000E2699">
              <w:rPr>
                <w:rFonts w:ascii="Arial" w:hAnsi="Arial" w:cs="Arial"/>
                <w:i/>
                <w:iCs/>
                <w:lang w:val="en-US"/>
              </w:rPr>
              <w:t xml:space="preserve">Computer literacy: </w:t>
            </w:r>
          </w:p>
          <w:p w:rsidR="00106C03" w:rsidRPr="000E2699" w:rsidRDefault="00106C03" w:rsidP="002D5E5E">
            <w:pPr>
              <w:jc w:val="both"/>
              <w:rPr>
                <w:rFonts w:ascii="Arial" w:hAnsi="Arial" w:cs="Arial"/>
                <w:lang w:val="en-US"/>
              </w:rPr>
            </w:pPr>
            <w:r w:rsidRPr="000E2699">
              <w:rPr>
                <w:rFonts w:ascii="Arial" w:hAnsi="Arial" w:cs="Arial"/>
                <w:lang w:val="en-US"/>
              </w:rPr>
              <w:t>Microsoft Word, Excel, Internet, Power Point, SPSS</w:t>
            </w:r>
          </w:p>
        </w:tc>
      </w:tr>
    </w:tbl>
    <w:p w:rsidR="00106C03" w:rsidRPr="000E2699" w:rsidRDefault="00106C03">
      <w:pPr>
        <w:rPr>
          <w:rFonts w:ascii="Arial" w:hAnsi="Arial" w:cs="Arial"/>
          <w:sz w:val="16"/>
          <w:lang w:val="en-US"/>
        </w:rPr>
      </w:pPr>
    </w:p>
    <w:p w:rsidR="00106C03" w:rsidRPr="000E2699" w:rsidRDefault="00106C03">
      <w:pPr>
        <w:rPr>
          <w:rFonts w:ascii="Arial" w:hAnsi="Arial" w:cs="Arial"/>
          <w:sz w:val="16"/>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jc w:val="right"/>
              <w:rPr>
                <w:rFonts w:ascii="Arial" w:hAnsi="Arial" w:cs="Arial"/>
                <w:sz w:val="22"/>
                <w:lang w:val="en-US"/>
              </w:rPr>
            </w:pPr>
            <w:r w:rsidRPr="000E2699">
              <w:rPr>
                <w:rFonts w:ascii="Arial" w:hAnsi="Arial" w:cs="Arial"/>
                <w:sz w:val="22"/>
                <w:lang w:val="en-US"/>
              </w:rPr>
              <w:t>Other skills and competences</w:t>
            </w:r>
          </w:p>
          <w:p w:rsidR="002E7DD7" w:rsidRPr="000E2699" w:rsidRDefault="002E7DD7">
            <w:pPr>
              <w:jc w:val="right"/>
              <w:rPr>
                <w:rFonts w:ascii="Arial" w:hAnsi="Arial" w:cs="Arial"/>
                <w:sz w:val="22"/>
                <w:lang w:val="en-US"/>
              </w:rPr>
            </w:pPr>
          </w:p>
          <w:p w:rsidR="002E7DD7" w:rsidRPr="000E2699" w:rsidRDefault="002E7DD7">
            <w:pPr>
              <w:jc w:val="right"/>
              <w:rPr>
                <w:rFonts w:ascii="Arial" w:hAnsi="Arial" w:cs="Arial"/>
                <w:sz w:val="22"/>
                <w:lang w:val="en-US"/>
              </w:rPr>
            </w:pPr>
          </w:p>
          <w:p w:rsidR="002E7DD7" w:rsidRPr="000E2699" w:rsidRDefault="002E7DD7">
            <w:pPr>
              <w:jc w:val="right"/>
              <w:rPr>
                <w:rFonts w:ascii="Arial" w:hAnsi="Arial" w:cs="Arial"/>
                <w:sz w:val="22"/>
                <w:lang w:val="en-US"/>
              </w:rPr>
            </w:pPr>
          </w:p>
          <w:p w:rsidR="002E7DD7" w:rsidRPr="000E2699" w:rsidRDefault="002E7DD7">
            <w:pPr>
              <w:jc w:val="right"/>
              <w:rPr>
                <w:rFonts w:ascii="Arial" w:hAnsi="Arial" w:cs="Arial"/>
                <w:sz w:val="22"/>
                <w:lang w:val="en-US"/>
              </w:rPr>
            </w:pPr>
          </w:p>
          <w:p w:rsidR="002E7DD7" w:rsidRPr="000E2699" w:rsidRDefault="002E7DD7">
            <w:pPr>
              <w:jc w:val="right"/>
              <w:rPr>
                <w:rFonts w:ascii="Arial" w:hAnsi="Arial" w:cs="Arial"/>
                <w:sz w:val="22"/>
                <w:lang w:val="en-US"/>
              </w:rPr>
            </w:pPr>
          </w:p>
        </w:tc>
        <w:tc>
          <w:tcPr>
            <w:tcW w:w="284" w:type="dxa"/>
          </w:tcPr>
          <w:p w:rsidR="00106C03" w:rsidRPr="000E2699" w:rsidRDefault="00106C03">
            <w:pPr>
              <w:rPr>
                <w:rFonts w:ascii="Arial" w:hAnsi="Arial" w:cs="Arial"/>
                <w:lang w:val="en-US"/>
              </w:rPr>
            </w:pPr>
          </w:p>
        </w:tc>
        <w:tc>
          <w:tcPr>
            <w:tcW w:w="7512" w:type="dxa"/>
          </w:tcPr>
          <w:p w:rsidR="009A44B3" w:rsidRPr="000E2699" w:rsidRDefault="00106C03" w:rsidP="002D5E5E">
            <w:pPr>
              <w:rPr>
                <w:rFonts w:ascii="Arial" w:hAnsi="Arial" w:cs="Arial"/>
                <w:lang w:val="en-US"/>
              </w:rPr>
            </w:pPr>
            <w:r w:rsidRPr="000E2699">
              <w:rPr>
                <w:rFonts w:ascii="Arial" w:hAnsi="Arial" w:cs="Arial"/>
                <w:lang w:val="en-US"/>
              </w:rPr>
              <w:t xml:space="preserve">The </w:t>
            </w:r>
            <w:r w:rsidR="003F2D39" w:rsidRPr="000E2699">
              <w:rPr>
                <w:rFonts w:ascii="Arial" w:hAnsi="Arial" w:cs="Arial"/>
                <w:lang w:val="en-US"/>
              </w:rPr>
              <w:t>analysis of education systems, governance and management of education system</w:t>
            </w:r>
          </w:p>
          <w:p w:rsidR="00106C03" w:rsidRPr="000E2699" w:rsidRDefault="00106C03" w:rsidP="002D5E5E">
            <w:pPr>
              <w:rPr>
                <w:rFonts w:ascii="Arial" w:hAnsi="Arial" w:cs="Arial"/>
                <w:lang w:val="en-US"/>
              </w:rPr>
            </w:pPr>
            <w:r w:rsidRPr="000E2699">
              <w:rPr>
                <w:rFonts w:ascii="Arial" w:hAnsi="Arial" w:cs="Arial"/>
                <w:lang w:val="en-US"/>
              </w:rPr>
              <w:t>Educational policy analysis, planning and evaluation,</w:t>
            </w:r>
          </w:p>
          <w:p w:rsidR="00106C03" w:rsidRPr="000E2699" w:rsidRDefault="00106C03" w:rsidP="002D5E5E">
            <w:pPr>
              <w:spacing w:before="20"/>
              <w:rPr>
                <w:rFonts w:ascii="Arial" w:hAnsi="Arial" w:cs="Arial"/>
                <w:lang w:val="en-US"/>
              </w:rPr>
            </w:pPr>
            <w:r w:rsidRPr="000E2699">
              <w:rPr>
                <w:rFonts w:ascii="Arial" w:hAnsi="Arial" w:cs="Arial"/>
                <w:lang w:val="en-US"/>
              </w:rPr>
              <w:t>Sociological research in education and among minorities</w:t>
            </w:r>
          </w:p>
          <w:p w:rsidR="002E7DD7" w:rsidRPr="000E2699" w:rsidRDefault="002E7DD7" w:rsidP="002D5E5E">
            <w:pPr>
              <w:spacing w:before="20"/>
              <w:rPr>
                <w:rFonts w:ascii="Arial" w:hAnsi="Arial" w:cs="Arial"/>
                <w:sz w:val="24"/>
                <w:szCs w:val="24"/>
                <w:lang w:val="en-US"/>
              </w:rPr>
            </w:pPr>
          </w:p>
          <w:p w:rsidR="002E7DD7" w:rsidRPr="000E2699" w:rsidRDefault="002E7DD7" w:rsidP="002D5E5E">
            <w:pPr>
              <w:spacing w:before="20"/>
              <w:rPr>
                <w:rFonts w:ascii="Arial" w:hAnsi="Arial" w:cs="Arial"/>
                <w:lang w:val="en-US"/>
              </w:rPr>
            </w:pPr>
          </w:p>
        </w:tc>
      </w:tr>
    </w:tbl>
    <w:p w:rsidR="00106C03" w:rsidRPr="000E2699" w:rsidRDefault="00106C03" w:rsidP="002E7DD7">
      <w:pPr>
        <w:rPr>
          <w:rFonts w:ascii="Arial" w:hAnsi="Arial" w:cs="Arial"/>
          <w:sz w:val="16"/>
          <w:lang w:val="en-US"/>
        </w:rPr>
      </w:pPr>
    </w:p>
    <w:p w:rsidR="002E7DD7" w:rsidRPr="000E2699" w:rsidRDefault="002E7DD7">
      <w:pPr>
        <w:rPr>
          <w:rFonts w:ascii="Arial" w:hAnsi="Arial" w:cs="Arial"/>
          <w:sz w:val="16"/>
          <w:lang w:val="en-US"/>
        </w:rPr>
      </w:pPr>
    </w:p>
    <w:p w:rsidR="00106C03" w:rsidRPr="000E2699" w:rsidRDefault="00106C03">
      <w:pPr>
        <w:rPr>
          <w:rFonts w:ascii="Arial" w:hAnsi="Arial" w:cs="Arial"/>
          <w:sz w:val="16"/>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pStyle w:val="Heading3"/>
              <w:jc w:val="right"/>
              <w:rPr>
                <w:rFonts w:ascii="Arial" w:hAnsi="Arial" w:cs="Arial"/>
                <w:lang w:val="en-US"/>
              </w:rPr>
            </w:pPr>
            <w:r w:rsidRPr="000E2699">
              <w:rPr>
                <w:rFonts w:ascii="Arial" w:hAnsi="Arial" w:cs="Arial"/>
                <w:lang w:val="en-US"/>
              </w:rPr>
              <w:t>Additional information</w:t>
            </w:r>
          </w:p>
        </w:tc>
        <w:tc>
          <w:tcPr>
            <w:tcW w:w="284" w:type="dxa"/>
          </w:tcPr>
          <w:p w:rsidR="00106C03" w:rsidRPr="000E2699" w:rsidRDefault="00106C03">
            <w:pPr>
              <w:rPr>
                <w:rFonts w:ascii="Arial" w:hAnsi="Arial" w:cs="Arial"/>
                <w:lang w:val="en-US"/>
              </w:rPr>
            </w:pPr>
          </w:p>
        </w:tc>
        <w:tc>
          <w:tcPr>
            <w:tcW w:w="7512" w:type="dxa"/>
          </w:tcPr>
          <w:p w:rsidR="00106C03" w:rsidRPr="000E2699" w:rsidRDefault="00106C03">
            <w:pPr>
              <w:spacing w:before="20"/>
              <w:rPr>
                <w:rFonts w:ascii="Arial" w:hAnsi="Arial" w:cs="Arial"/>
                <w:b/>
                <w:lang w:val="en-US"/>
              </w:rPr>
            </w:pPr>
            <w:r w:rsidRPr="000E2699">
              <w:rPr>
                <w:rFonts w:ascii="Arial" w:hAnsi="Arial" w:cs="Arial"/>
                <w:b/>
                <w:lang w:val="en-US"/>
              </w:rPr>
              <w:t>Current teaching activities:</w:t>
            </w:r>
          </w:p>
          <w:p w:rsidR="00106C03" w:rsidRPr="000E2699" w:rsidRDefault="00106C03">
            <w:pPr>
              <w:spacing w:before="20"/>
              <w:rPr>
                <w:rFonts w:ascii="Arial" w:hAnsi="Arial" w:cs="Arial"/>
                <w:lang w:val="en-US"/>
              </w:rPr>
            </w:pPr>
            <w:r w:rsidRPr="000E2699">
              <w:rPr>
                <w:rFonts w:ascii="Arial" w:hAnsi="Arial" w:cs="Arial"/>
                <w:lang w:val="en-US"/>
              </w:rPr>
              <w:t>Teaching the following courses at ELTE University</w:t>
            </w:r>
            <w:r w:rsidR="000E2699">
              <w:rPr>
                <w:rFonts w:ascii="Arial" w:hAnsi="Arial" w:cs="Arial"/>
                <w:lang w:val="en-US"/>
              </w:rPr>
              <w:t xml:space="preserve"> and at various professional colleges</w:t>
            </w:r>
            <w:r w:rsidRPr="000E2699">
              <w:rPr>
                <w:rFonts w:ascii="Arial" w:hAnsi="Arial" w:cs="Arial"/>
                <w:lang w:val="en-US"/>
              </w:rPr>
              <w:t>:</w:t>
            </w:r>
          </w:p>
          <w:p w:rsidR="00106C03" w:rsidRPr="000E2699" w:rsidRDefault="00106C03" w:rsidP="00BE3FF8">
            <w:pPr>
              <w:numPr>
                <w:ilvl w:val="0"/>
                <w:numId w:val="3"/>
              </w:numPr>
              <w:spacing w:before="20"/>
              <w:rPr>
                <w:rFonts w:ascii="Arial" w:hAnsi="Arial" w:cs="Arial"/>
                <w:lang w:val="en-US"/>
              </w:rPr>
            </w:pPr>
            <w:r w:rsidRPr="000E2699">
              <w:rPr>
                <w:rFonts w:ascii="Arial" w:hAnsi="Arial" w:cs="Arial"/>
                <w:lang w:val="en-US"/>
              </w:rPr>
              <w:t>The Analysis of Education Systems</w:t>
            </w:r>
          </w:p>
          <w:p w:rsidR="00106C03" w:rsidRPr="000E2699" w:rsidRDefault="00106C03" w:rsidP="00BE3FF8">
            <w:pPr>
              <w:numPr>
                <w:ilvl w:val="0"/>
                <w:numId w:val="3"/>
              </w:numPr>
              <w:spacing w:before="20"/>
              <w:rPr>
                <w:rFonts w:ascii="Arial" w:hAnsi="Arial" w:cs="Arial"/>
                <w:lang w:val="en-US"/>
              </w:rPr>
            </w:pPr>
            <w:r w:rsidRPr="000E2699">
              <w:rPr>
                <w:rFonts w:ascii="Arial" w:hAnsi="Arial" w:cs="Arial"/>
                <w:lang w:val="en-US"/>
              </w:rPr>
              <w:t>Minority Education Policies</w:t>
            </w:r>
          </w:p>
          <w:p w:rsidR="003F2D39" w:rsidRPr="000E2699" w:rsidRDefault="003F2D39" w:rsidP="00BE3FF8">
            <w:pPr>
              <w:numPr>
                <w:ilvl w:val="0"/>
                <w:numId w:val="3"/>
              </w:numPr>
              <w:spacing w:before="20"/>
              <w:rPr>
                <w:rFonts w:ascii="Arial" w:hAnsi="Arial" w:cs="Arial"/>
                <w:lang w:val="en-US"/>
              </w:rPr>
            </w:pPr>
            <w:r w:rsidRPr="000E2699">
              <w:rPr>
                <w:rFonts w:ascii="Arial" w:hAnsi="Arial" w:cs="Arial"/>
                <w:lang w:val="en-US"/>
              </w:rPr>
              <w:t>Educational policy</w:t>
            </w:r>
          </w:p>
          <w:p w:rsidR="00106C03" w:rsidRPr="000E2699" w:rsidRDefault="00106C03">
            <w:pPr>
              <w:spacing w:before="20"/>
              <w:rPr>
                <w:rFonts w:ascii="Arial" w:hAnsi="Arial" w:cs="Arial"/>
                <w:lang w:val="en-US"/>
              </w:rPr>
            </w:pPr>
          </w:p>
          <w:p w:rsidR="00B148F8" w:rsidRPr="000E2699" w:rsidRDefault="00B148F8" w:rsidP="00B148F8">
            <w:pPr>
              <w:spacing w:before="20"/>
              <w:ind w:left="720"/>
              <w:rPr>
                <w:rFonts w:ascii="Arial" w:hAnsi="Arial" w:cs="Arial"/>
                <w:lang w:val="en-US"/>
              </w:rPr>
            </w:pPr>
          </w:p>
          <w:p w:rsidR="00106C03" w:rsidRPr="000E2699" w:rsidRDefault="00106C03" w:rsidP="002E7DD7">
            <w:pPr>
              <w:spacing w:before="20"/>
              <w:rPr>
                <w:rFonts w:ascii="Arial" w:hAnsi="Arial" w:cs="Arial"/>
                <w:lang w:val="en-US"/>
              </w:rPr>
            </w:pPr>
          </w:p>
        </w:tc>
      </w:tr>
    </w:tbl>
    <w:p w:rsidR="00106C03" w:rsidRPr="000E2699" w:rsidRDefault="00106C03">
      <w:pPr>
        <w:rPr>
          <w:rFonts w:ascii="Arial" w:hAnsi="Arial" w:cs="Arial"/>
          <w:sz w:val="16"/>
          <w:lang w:val="en-US"/>
        </w:rPr>
      </w:pPr>
    </w:p>
    <w:tbl>
      <w:tblPr>
        <w:tblW w:w="0" w:type="auto"/>
        <w:tblInd w:w="108" w:type="dxa"/>
        <w:tblLayout w:type="fixed"/>
        <w:tblLook w:val="0000" w:firstRow="0" w:lastRow="0" w:firstColumn="0" w:lastColumn="0" w:noHBand="0" w:noVBand="0"/>
      </w:tblPr>
      <w:tblGrid>
        <w:gridCol w:w="2977"/>
        <w:gridCol w:w="284"/>
        <w:gridCol w:w="7512"/>
      </w:tblGrid>
      <w:tr w:rsidR="00106C03" w:rsidRPr="000E2699">
        <w:tc>
          <w:tcPr>
            <w:tcW w:w="2977" w:type="dxa"/>
          </w:tcPr>
          <w:p w:rsidR="00106C03" w:rsidRPr="000E2699" w:rsidRDefault="00106C03">
            <w:pPr>
              <w:pStyle w:val="Heading3"/>
              <w:jc w:val="right"/>
              <w:rPr>
                <w:rFonts w:ascii="Arial" w:hAnsi="Arial" w:cs="Arial"/>
                <w:lang w:val="en-US"/>
              </w:rPr>
            </w:pPr>
            <w:r w:rsidRPr="000E2699">
              <w:rPr>
                <w:rFonts w:ascii="Arial" w:hAnsi="Arial" w:cs="Arial"/>
                <w:lang w:val="en-US"/>
              </w:rPr>
              <w:lastRenderedPageBreak/>
              <w:t>Annex</w:t>
            </w:r>
          </w:p>
        </w:tc>
        <w:tc>
          <w:tcPr>
            <w:tcW w:w="284" w:type="dxa"/>
          </w:tcPr>
          <w:p w:rsidR="00106C03" w:rsidRPr="000E2699" w:rsidRDefault="00106C03">
            <w:pPr>
              <w:rPr>
                <w:rFonts w:ascii="Arial" w:hAnsi="Arial" w:cs="Arial"/>
                <w:lang w:val="en-US"/>
              </w:rPr>
            </w:pPr>
          </w:p>
        </w:tc>
        <w:tc>
          <w:tcPr>
            <w:tcW w:w="7512" w:type="dxa"/>
          </w:tcPr>
          <w:p w:rsidR="00106C03" w:rsidRPr="000E2699" w:rsidRDefault="00106C03">
            <w:pPr>
              <w:spacing w:before="20"/>
              <w:rPr>
                <w:rFonts w:ascii="Arial" w:hAnsi="Arial" w:cs="Arial"/>
                <w:b/>
                <w:lang w:val="en-US"/>
              </w:rPr>
            </w:pPr>
            <w:r w:rsidRPr="000E2699">
              <w:rPr>
                <w:rFonts w:ascii="Arial" w:hAnsi="Arial" w:cs="Arial"/>
                <w:b/>
                <w:lang w:val="en-US"/>
              </w:rPr>
              <w:t>Publications:</w:t>
            </w:r>
          </w:p>
          <w:p w:rsidR="00D91DE3" w:rsidRPr="00D91DE3" w:rsidRDefault="00D91DE3" w:rsidP="00D91DE3">
            <w:pPr>
              <w:shd w:val="clear" w:color="auto" w:fill="FFFFFF"/>
              <w:rPr>
                <w:rFonts w:ascii="Arial" w:hAnsi="Arial" w:cs="Arial"/>
                <w:lang w:eastAsia="hu-HU"/>
              </w:rPr>
            </w:pPr>
          </w:p>
          <w:p w:rsidR="00D91DE3" w:rsidRPr="00D91DE3" w:rsidRDefault="00D91DE3" w:rsidP="00D91DE3">
            <w:pPr>
              <w:pStyle w:val="ListParagraph"/>
              <w:numPr>
                <w:ilvl w:val="0"/>
                <w:numId w:val="2"/>
              </w:numPr>
              <w:shd w:val="clear" w:color="auto" w:fill="FFFFFF"/>
              <w:spacing w:before="100" w:beforeAutospacing="1" w:after="24"/>
              <w:rPr>
                <w:rFonts w:ascii="Arial" w:hAnsi="Arial" w:cs="Arial"/>
              </w:rPr>
            </w:pPr>
            <w:hyperlink r:id="rId9" w:history="1">
              <w:r w:rsidRPr="00D91DE3">
                <w:rPr>
                  <w:rFonts w:ascii="Arial" w:hAnsi="Arial" w:cs="Arial"/>
                  <w:u w:val="single"/>
                </w:rPr>
                <w:t>(</w:t>
              </w:r>
              <w:proofErr w:type="spellStart"/>
              <w:r w:rsidRPr="00D91DE3">
                <w:rPr>
                  <w:rFonts w:ascii="Arial" w:hAnsi="Arial" w:cs="Arial"/>
                  <w:u w:val="single"/>
                </w:rPr>
                <w:t>with</w:t>
              </w:r>
              <w:proofErr w:type="spellEnd"/>
              <w:r w:rsidRPr="00D91DE3">
                <w:rPr>
                  <w:rFonts w:ascii="Arial" w:hAnsi="Arial" w:cs="Arial"/>
                  <w:u w:val="single"/>
                </w:rPr>
                <w:t xml:space="preserve"> </w:t>
              </w:r>
              <w:proofErr w:type="spellStart"/>
              <w:r w:rsidRPr="00D91DE3">
                <w:rPr>
                  <w:rFonts w:ascii="Arial" w:hAnsi="Arial" w:cs="Arial"/>
                  <w:u w:val="single"/>
                </w:rPr>
                <w:t>Kriszta</w:t>
              </w:r>
              <w:proofErr w:type="spellEnd"/>
              <w:r w:rsidRPr="00D91DE3">
                <w:rPr>
                  <w:rFonts w:ascii="Arial" w:hAnsi="Arial" w:cs="Arial"/>
                  <w:u w:val="single"/>
                </w:rPr>
                <w:t xml:space="preserve"> </w:t>
              </w:r>
              <w:proofErr w:type="spellStart"/>
              <w:r w:rsidRPr="00D91DE3">
                <w:rPr>
                  <w:rFonts w:ascii="Arial" w:hAnsi="Arial" w:cs="Arial"/>
                  <w:u w:val="single"/>
                </w:rPr>
                <w:t>Ercse</w:t>
              </w:r>
              <w:proofErr w:type="spellEnd"/>
              <w:r w:rsidRPr="00D91DE3">
                <w:rPr>
                  <w:rFonts w:ascii="Arial" w:hAnsi="Arial" w:cs="Arial"/>
                  <w:u w:val="single"/>
                </w:rPr>
                <w:t xml:space="preserve">) A magyar </w:t>
              </w:r>
              <w:proofErr w:type="spellStart"/>
              <w:r w:rsidRPr="00D91DE3">
                <w:rPr>
                  <w:rFonts w:ascii="Arial" w:hAnsi="Arial" w:cs="Arial"/>
                  <w:u w:val="single"/>
                </w:rPr>
                <w:t>közoktatásban</w:t>
              </w:r>
              <w:proofErr w:type="spellEnd"/>
              <w:r w:rsidRPr="00D91DE3">
                <w:rPr>
                  <w:rFonts w:ascii="Arial" w:hAnsi="Arial" w:cs="Arial"/>
                  <w:u w:val="single"/>
                </w:rPr>
                <w:t xml:space="preserve"> </w:t>
              </w:r>
              <w:proofErr w:type="spellStart"/>
              <w:r w:rsidRPr="00D91DE3">
                <w:rPr>
                  <w:rFonts w:ascii="Arial" w:hAnsi="Arial" w:cs="Arial"/>
                  <w:u w:val="single"/>
                </w:rPr>
                <w:t>zajló</w:t>
              </w:r>
              <w:proofErr w:type="spellEnd"/>
              <w:r w:rsidRPr="00D91DE3">
                <w:rPr>
                  <w:rFonts w:ascii="Arial" w:hAnsi="Arial" w:cs="Arial"/>
                  <w:u w:val="single"/>
                </w:rPr>
                <w:t xml:space="preserve"> </w:t>
              </w:r>
              <w:proofErr w:type="spellStart"/>
              <w:r w:rsidRPr="00D91DE3">
                <w:rPr>
                  <w:rFonts w:ascii="Arial" w:hAnsi="Arial" w:cs="Arial"/>
                  <w:u w:val="single"/>
                </w:rPr>
                <w:t>privatizáció</w:t>
              </w:r>
              <w:proofErr w:type="spellEnd"/>
              <w:r w:rsidRPr="00D91DE3">
                <w:rPr>
                  <w:rFonts w:ascii="Arial" w:hAnsi="Arial" w:cs="Arial"/>
                  <w:u w:val="single"/>
                </w:rPr>
                <w:t xml:space="preserve"> </w:t>
              </w:r>
              <w:proofErr w:type="spellStart"/>
              <w:r w:rsidRPr="00D91DE3">
                <w:rPr>
                  <w:rFonts w:ascii="Arial" w:hAnsi="Arial" w:cs="Arial"/>
                  <w:u w:val="single"/>
                </w:rPr>
                <w:t>és</w:t>
              </w:r>
              <w:proofErr w:type="spellEnd"/>
              <w:r w:rsidRPr="00D91DE3">
                <w:rPr>
                  <w:rFonts w:ascii="Arial" w:hAnsi="Arial" w:cs="Arial"/>
                  <w:u w:val="single"/>
                </w:rPr>
                <w:t xml:space="preserve"> </w:t>
              </w:r>
              <w:proofErr w:type="spellStart"/>
              <w:r w:rsidRPr="00D91DE3">
                <w:rPr>
                  <w:rFonts w:ascii="Arial" w:hAnsi="Arial" w:cs="Arial"/>
                  <w:u w:val="single"/>
                </w:rPr>
                <w:t>annak</w:t>
              </w:r>
              <w:proofErr w:type="spellEnd"/>
              <w:r w:rsidRPr="00D91DE3">
                <w:rPr>
                  <w:rFonts w:ascii="Arial" w:hAnsi="Arial" w:cs="Arial"/>
                  <w:u w:val="single"/>
                </w:rPr>
                <w:t xml:space="preserve"> </w:t>
              </w:r>
              <w:proofErr w:type="spellStart"/>
              <w:r w:rsidRPr="00D91DE3">
                <w:rPr>
                  <w:rFonts w:ascii="Arial" w:hAnsi="Arial" w:cs="Arial"/>
                  <w:u w:val="single"/>
                </w:rPr>
                <w:t>hatásai</w:t>
              </w:r>
              <w:proofErr w:type="spellEnd"/>
              <w:r w:rsidRPr="00D91DE3">
                <w:rPr>
                  <w:rFonts w:ascii="Arial" w:hAnsi="Arial" w:cs="Arial"/>
                  <w:u w:val="single"/>
                </w:rPr>
                <w:t>.</w:t>
              </w:r>
            </w:hyperlink>
            <w:r w:rsidRPr="00D91DE3">
              <w:rPr>
                <w:rFonts w:ascii="Arial" w:hAnsi="Arial" w:cs="Arial"/>
              </w:rPr>
              <w:t> (</w:t>
            </w:r>
            <w:proofErr w:type="spellStart"/>
            <w:r w:rsidRPr="00D91DE3">
              <w:rPr>
                <w:rFonts w:ascii="Arial" w:hAnsi="Arial" w:cs="Arial"/>
              </w:rPr>
              <w:t>The</w:t>
            </w:r>
            <w:proofErr w:type="spellEnd"/>
            <w:r w:rsidRPr="00D91DE3">
              <w:rPr>
                <w:rFonts w:ascii="Arial" w:hAnsi="Arial" w:cs="Arial"/>
              </w:rPr>
              <w:t xml:space="preserve"> </w:t>
            </w:r>
            <w:proofErr w:type="spellStart"/>
            <w:r w:rsidRPr="00D91DE3">
              <w:rPr>
                <w:rFonts w:ascii="Arial" w:hAnsi="Arial" w:cs="Arial"/>
              </w:rPr>
              <w:t>ongoing</w:t>
            </w:r>
            <w:proofErr w:type="spellEnd"/>
            <w:r w:rsidRPr="00D91DE3">
              <w:rPr>
                <w:rFonts w:ascii="Arial" w:hAnsi="Arial" w:cs="Arial"/>
              </w:rPr>
              <w:t xml:space="preserve"> </w:t>
            </w:r>
            <w:proofErr w:type="spellStart"/>
            <w:r w:rsidRPr="00D91DE3">
              <w:rPr>
                <w:rFonts w:ascii="Arial" w:hAnsi="Arial" w:cs="Arial"/>
              </w:rPr>
              <w:t>privatization</w:t>
            </w:r>
            <w:proofErr w:type="spellEnd"/>
            <w:r w:rsidRPr="00D91DE3">
              <w:rPr>
                <w:rFonts w:ascii="Arial" w:hAnsi="Arial" w:cs="Arial"/>
              </w:rPr>
              <w:t xml:space="preserve"> in </w:t>
            </w:r>
            <w:proofErr w:type="spellStart"/>
            <w:r w:rsidRPr="00D91DE3">
              <w:rPr>
                <w:rFonts w:ascii="Arial" w:hAnsi="Arial" w:cs="Arial"/>
              </w:rPr>
              <w:t>public</w:t>
            </w:r>
            <w:proofErr w:type="spellEnd"/>
            <w:r w:rsidRPr="00D91DE3">
              <w:rPr>
                <w:rFonts w:ascii="Arial" w:hAnsi="Arial" w:cs="Arial"/>
              </w:rPr>
              <w:t xml:space="preserve"> </w:t>
            </w:r>
            <w:proofErr w:type="spellStart"/>
            <w:r w:rsidRPr="00D91DE3">
              <w:rPr>
                <w:rFonts w:ascii="Arial" w:hAnsi="Arial" w:cs="Arial"/>
              </w:rPr>
              <w:t>education</w:t>
            </w:r>
            <w:proofErr w:type="spellEnd"/>
            <w:r w:rsidRPr="00D91DE3">
              <w:rPr>
                <w:rFonts w:ascii="Arial" w:hAnsi="Arial" w:cs="Arial"/>
              </w:rPr>
              <w:t xml:space="preserve"> and </w:t>
            </w:r>
            <w:proofErr w:type="spellStart"/>
            <w:r w:rsidRPr="00D91DE3">
              <w:rPr>
                <w:rFonts w:ascii="Arial" w:hAnsi="Arial" w:cs="Arial"/>
              </w:rPr>
              <w:t>its</w:t>
            </w:r>
            <w:proofErr w:type="spellEnd"/>
            <w:r w:rsidRPr="00D91DE3">
              <w:rPr>
                <w:rFonts w:ascii="Arial" w:hAnsi="Arial" w:cs="Arial"/>
              </w:rPr>
              <w:t xml:space="preserve"> </w:t>
            </w:r>
            <w:proofErr w:type="spellStart"/>
            <w:r w:rsidRPr="00D91DE3">
              <w:rPr>
                <w:rFonts w:ascii="Arial" w:hAnsi="Arial" w:cs="Arial"/>
              </w:rPr>
              <w:t>effects</w:t>
            </w:r>
            <w:proofErr w:type="spellEnd"/>
            <w:r w:rsidRPr="00D91DE3">
              <w:rPr>
                <w:rFonts w:ascii="Arial" w:hAnsi="Arial" w:cs="Arial"/>
              </w:rPr>
              <w:t xml:space="preserve"> in </w:t>
            </w:r>
            <w:proofErr w:type="spellStart"/>
            <w:r w:rsidRPr="00D91DE3">
              <w:rPr>
                <w:rFonts w:ascii="Arial" w:hAnsi="Arial" w:cs="Arial"/>
              </w:rPr>
              <w:t>Hungary</w:t>
            </w:r>
            <w:proofErr w:type="spellEnd"/>
            <w:r w:rsidRPr="00D91DE3">
              <w:rPr>
                <w:rFonts w:ascii="Arial" w:hAnsi="Arial" w:cs="Arial"/>
              </w:rPr>
              <w:t xml:space="preserve">) In: </w:t>
            </w:r>
            <w:proofErr w:type="spellStart"/>
            <w:r w:rsidRPr="00D91DE3">
              <w:rPr>
                <w:rFonts w:ascii="Arial" w:hAnsi="Arial" w:cs="Arial"/>
              </w:rPr>
              <w:t>Iskolakultúra</w:t>
            </w:r>
            <w:proofErr w:type="spellEnd"/>
            <w:r w:rsidRPr="00D91DE3">
              <w:rPr>
                <w:rFonts w:ascii="Arial" w:hAnsi="Arial" w:cs="Arial"/>
              </w:rPr>
              <w:t>, 2019/29(7), 8-49.</w:t>
            </w:r>
          </w:p>
          <w:p w:rsidR="00343890" w:rsidRPr="00343890" w:rsidRDefault="00E04679" w:rsidP="00343890">
            <w:pPr>
              <w:pStyle w:val="ListParagraph"/>
              <w:numPr>
                <w:ilvl w:val="0"/>
                <w:numId w:val="2"/>
              </w:numPr>
              <w:shd w:val="clear" w:color="auto" w:fill="FFFFFF"/>
              <w:rPr>
                <w:rFonts w:ascii="Arial" w:hAnsi="Arial" w:cs="Arial"/>
                <w:lang w:eastAsia="hu-HU"/>
              </w:rPr>
            </w:pPr>
            <w:hyperlink r:id="rId10" w:history="1">
              <w:proofErr w:type="spellStart"/>
              <w:r w:rsidR="00343890" w:rsidRPr="00343890">
                <w:rPr>
                  <w:rFonts w:ascii="Arial" w:hAnsi="Arial" w:cs="Arial"/>
                  <w:lang w:eastAsia="hu-HU"/>
                </w:rPr>
                <w:t>Market</w:t>
              </w:r>
              <w:proofErr w:type="spellEnd"/>
              <w:r w:rsidR="00343890" w:rsidRPr="00343890">
                <w:rPr>
                  <w:rFonts w:ascii="Arial" w:hAnsi="Arial" w:cs="Arial"/>
                  <w:lang w:eastAsia="hu-HU"/>
                </w:rPr>
                <w:t xml:space="preserve"> </w:t>
              </w:r>
              <w:proofErr w:type="spellStart"/>
              <w:r w:rsidR="00343890" w:rsidRPr="00343890">
                <w:rPr>
                  <w:rFonts w:ascii="Arial" w:hAnsi="Arial" w:cs="Arial"/>
                  <w:lang w:eastAsia="hu-HU"/>
                </w:rPr>
                <w:t>reforms</w:t>
              </w:r>
              <w:proofErr w:type="spellEnd"/>
              <w:r w:rsidR="00343890" w:rsidRPr="00343890">
                <w:rPr>
                  <w:rFonts w:ascii="Arial" w:hAnsi="Arial" w:cs="Arial"/>
                  <w:lang w:eastAsia="hu-HU"/>
                </w:rPr>
                <w:t xml:space="preserve"> in </w:t>
              </w:r>
              <w:proofErr w:type="spellStart"/>
              <w:r w:rsidR="00343890" w:rsidRPr="00343890">
                <w:rPr>
                  <w:rFonts w:ascii="Arial" w:hAnsi="Arial" w:cs="Arial"/>
                  <w:lang w:eastAsia="hu-HU"/>
                </w:rPr>
                <w:t>the</w:t>
              </w:r>
              <w:proofErr w:type="spellEnd"/>
              <w:r w:rsidR="00343890" w:rsidRPr="00343890">
                <w:rPr>
                  <w:rFonts w:ascii="Arial" w:hAnsi="Arial" w:cs="Arial"/>
                  <w:lang w:eastAsia="hu-HU"/>
                </w:rPr>
                <w:t xml:space="preserve"> Hungarian school system: impact of changes in the ownership structure</w:t>
              </w:r>
            </w:hyperlink>
            <w:r w:rsidR="00343890" w:rsidRPr="00343890">
              <w:rPr>
                <w:rFonts w:ascii="Arial" w:hAnsi="Arial" w:cs="Arial"/>
                <w:lang w:eastAsia="hu-HU"/>
              </w:rPr>
              <w:t>, NESET Ad hoc report no. 2/2019.</w:t>
            </w:r>
          </w:p>
          <w:p w:rsidR="00343890" w:rsidRPr="00343890" w:rsidRDefault="00343890" w:rsidP="00343890">
            <w:pPr>
              <w:pStyle w:val="ListParagraph"/>
              <w:numPr>
                <w:ilvl w:val="0"/>
                <w:numId w:val="2"/>
              </w:numPr>
              <w:shd w:val="clear" w:color="auto" w:fill="FFFFFF"/>
              <w:rPr>
                <w:rFonts w:ascii="Arial" w:hAnsi="Arial" w:cs="Arial"/>
                <w:color w:val="222222"/>
                <w:lang w:eastAsia="hu-HU"/>
              </w:rPr>
            </w:pPr>
            <w:r w:rsidRPr="00343890">
              <w:rPr>
                <w:rFonts w:ascii="Arial" w:hAnsi="Arial" w:cs="Arial"/>
                <w:color w:val="222222"/>
                <w:lang w:eastAsia="hu-HU"/>
              </w:rPr>
              <w:t>A Naprendszer benépesítése és a tanulás értelme: oktatáspolitikai terek </w:t>
            </w:r>
            <w:r w:rsidRPr="00343890">
              <w:rPr>
                <w:rFonts w:ascii="Arial" w:hAnsi="Arial" w:cs="Arial"/>
                <w:i/>
                <w:iCs/>
                <w:color w:val="222222"/>
                <w:lang w:eastAsia="hu-HU"/>
              </w:rPr>
              <w:t>A Térségben.</w:t>
            </w:r>
            <w:r w:rsidRPr="00343890">
              <w:rPr>
                <w:rFonts w:ascii="Arial" w:hAnsi="Arial" w:cs="Arial"/>
                <w:color w:val="222222"/>
                <w:lang w:eastAsia="hu-HU"/>
              </w:rPr>
              <w:t> </w:t>
            </w:r>
            <w:r w:rsidR="00D91DE3">
              <w:rPr>
                <w:rFonts w:ascii="Arial" w:hAnsi="Arial" w:cs="Arial"/>
                <w:color w:val="222222"/>
                <w:lang w:eastAsia="hu-HU"/>
              </w:rPr>
              <w:t>(</w:t>
            </w:r>
            <w:proofErr w:type="spellStart"/>
            <w:r w:rsidR="00D91DE3">
              <w:rPr>
                <w:rFonts w:ascii="Arial" w:hAnsi="Arial" w:cs="Arial"/>
                <w:color w:val="222222"/>
                <w:lang w:eastAsia="hu-HU"/>
              </w:rPr>
              <w:t>The</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population</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of</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the</w:t>
            </w:r>
            <w:proofErr w:type="spellEnd"/>
            <w:r w:rsidR="00D91DE3">
              <w:rPr>
                <w:rFonts w:ascii="Arial" w:hAnsi="Arial" w:cs="Arial"/>
                <w:color w:val="222222"/>
                <w:lang w:eastAsia="hu-HU"/>
              </w:rPr>
              <w:t xml:space="preserve"> Solar </w:t>
            </w:r>
            <w:proofErr w:type="spellStart"/>
            <w:r w:rsidR="00D91DE3">
              <w:rPr>
                <w:rFonts w:ascii="Arial" w:hAnsi="Arial" w:cs="Arial"/>
                <w:color w:val="222222"/>
                <w:lang w:eastAsia="hu-HU"/>
              </w:rPr>
              <w:t>System</w:t>
            </w:r>
            <w:proofErr w:type="spellEnd"/>
            <w:r w:rsidR="00D91DE3">
              <w:rPr>
                <w:rFonts w:ascii="Arial" w:hAnsi="Arial" w:cs="Arial"/>
                <w:color w:val="222222"/>
                <w:lang w:eastAsia="hu-HU"/>
              </w:rPr>
              <w:t xml:space="preserve"> and </w:t>
            </w:r>
            <w:proofErr w:type="spellStart"/>
            <w:r w:rsidR="00D91DE3">
              <w:rPr>
                <w:rFonts w:ascii="Arial" w:hAnsi="Arial" w:cs="Arial"/>
                <w:color w:val="222222"/>
                <w:lang w:eastAsia="hu-HU"/>
              </w:rPr>
              <w:t>the</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meaning</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of</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learning</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Educational</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policy</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spaces</w:t>
            </w:r>
            <w:proofErr w:type="spellEnd"/>
            <w:r w:rsidR="00D91DE3">
              <w:rPr>
                <w:rFonts w:ascii="Arial" w:hAnsi="Arial" w:cs="Arial"/>
                <w:color w:val="222222"/>
                <w:lang w:eastAsia="hu-HU"/>
              </w:rPr>
              <w:t xml:space="preserve"> in </w:t>
            </w:r>
            <w:proofErr w:type="spellStart"/>
            <w:r w:rsidR="00D91DE3">
              <w:rPr>
                <w:rFonts w:ascii="Arial" w:hAnsi="Arial" w:cs="Arial"/>
                <w:color w:val="222222"/>
                <w:lang w:eastAsia="hu-HU"/>
              </w:rPr>
              <w:t>the</w:t>
            </w:r>
            <w:proofErr w:type="spellEnd"/>
            <w:r w:rsidR="00D91DE3">
              <w:rPr>
                <w:rFonts w:ascii="Arial" w:hAnsi="Arial" w:cs="Arial"/>
                <w:color w:val="222222"/>
                <w:lang w:eastAsia="hu-HU"/>
              </w:rPr>
              <w:t xml:space="preserve"> ´</w:t>
            </w:r>
            <w:proofErr w:type="spellStart"/>
            <w:r w:rsidR="00D91DE3">
              <w:rPr>
                <w:rFonts w:ascii="Arial" w:hAnsi="Arial" w:cs="Arial"/>
                <w:color w:val="222222"/>
                <w:lang w:eastAsia="hu-HU"/>
              </w:rPr>
              <w:t>Expanse</w:t>
            </w:r>
            <w:proofErr w:type="spellEnd"/>
            <w:r w:rsidR="00D91DE3">
              <w:rPr>
                <w:rFonts w:ascii="Arial" w:hAnsi="Arial" w:cs="Arial"/>
                <w:color w:val="222222"/>
                <w:lang w:eastAsia="hu-HU"/>
              </w:rPr>
              <w:t xml:space="preserve">´. </w:t>
            </w:r>
            <w:r w:rsidRPr="00343890">
              <w:rPr>
                <w:rFonts w:ascii="Arial" w:hAnsi="Arial" w:cs="Arial"/>
                <w:color w:val="222222"/>
                <w:lang w:eastAsia="hu-HU"/>
              </w:rPr>
              <w:t xml:space="preserve">In: </w:t>
            </w:r>
            <w:proofErr w:type="spellStart"/>
            <w:r w:rsidRPr="00343890">
              <w:rPr>
                <w:rFonts w:ascii="Arial" w:hAnsi="Arial" w:cs="Arial"/>
                <w:color w:val="222222"/>
                <w:lang w:eastAsia="hu-HU"/>
              </w:rPr>
              <w:t>Filippov</w:t>
            </w:r>
            <w:proofErr w:type="spellEnd"/>
            <w:r w:rsidRPr="00343890">
              <w:rPr>
                <w:rFonts w:ascii="Arial" w:hAnsi="Arial" w:cs="Arial"/>
                <w:color w:val="222222"/>
                <w:lang w:eastAsia="hu-HU"/>
              </w:rPr>
              <w:t xml:space="preserve"> </w:t>
            </w:r>
            <w:proofErr w:type="spellStart"/>
            <w:r w:rsidRPr="00343890">
              <w:rPr>
                <w:rFonts w:ascii="Arial" w:hAnsi="Arial" w:cs="Arial"/>
                <w:color w:val="222222"/>
                <w:lang w:eastAsia="hu-HU"/>
              </w:rPr>
              <w:t>Gábor</w:t>
            </w:r>
            <w:proofErr w:type="spellEnd"/>
            <w:r w:rsidRPr="00343890">
              <w:rPr>
                <w:rFonts w:ascii="Arial" w:hAnsi="Arial" w:cs="Arial"/>
                <w:color w:val="222222"/>
                <w:lang w:eastAsia="hu-HU"/>
              </w:rPr>
              <w:t>, Nagy Ádám, Tóth Csaba (szerk.): Párhuzamos univerzumok - Képzelet és tudomány. Athenaeum Kiadó, 2019</w:t>
            </w:r>
          </w:p>
          <w:p w:rsidR="00853183" w:rsidRPr="000E2699" w:rsidRDefault="00853183" w:rsidP="00E83393">
            <w:pPr>
              <w:numPr>
                <w:ilvl w:val="0"/>
                <w:numId w:val="2"/>
              </w:numPr>
              <w:rPr>
                <w:rFonts w:ascii="Arial" w:hAnsi="Arial" w:cs="Arial"/>
              </w:rPr>
            </w:pPr>
            <w:r w:rsidRPr="00343890">
              <w:rPr>
                <w:rFonts w:ascii="Arial" w:hAnsi="Arial" w:cs="Arial"/>
              </w:rPr>
              <w:t>A közoktatás szelektivitása mint a roma szegregáció általános kontextus</w:t>
            </w:r>
            <w:r w:rsidR="000E2699" w:rsidRPr="00343890">
              <w:rPr>
                <w:rFonts w:ascii="Arial" w:hAnsi="Arial" w:cs="Arial"/>
              </w:rPr>
              <w:t>a</w:t>
            </w:r>
            <w:r w:rsidRPr="00343890">
              <w:rPr>
                <w:rFonts w:ascii="Arial" w:hAnsi="Arial" w:cs="Arial"/>
              </w:rPr>
              <w:t xml:space="preserve">. </w:t>
            </w:r>
            <w:r w:rsidRPr="000E2699">
              <w:rPr>
                <w:rFonts w:ascii="Arial" w:hAnsi="Arial" w:cs="Arial"/>
              </w:rPr>
              <w:t>(Selection in education as the general context of Roma segregation) In: Én vétkem. Helyzetkép az oktatási szegregációról. Motiváció Oktatási Egyesület, 2018.</w:t>
            </w:r>
          </w:p>
          <w:p w:rsidR="00E83393" w:rsidRPr="000E2699" w:rsidRDefault="00E83393" w:rsidP="00E83393">
            <w:pPr>
              <w:numPr>
                <w:ilvl w:val="0"/>
                <w:numId w:val="2"/>
              </w:numPr>
              <w:rPr>
                <w:rFonts w:ascii="Arial" w:hAnsi="Arial" w:cs="Arial"/>
              </w:rPr>
            </w:pPr>
            <w:r w:rsidRPr="000E2699">
              <w:rPr>
                <w:rFonts w:ascii="Arial" w:hAnsi="Arial" w:cs="Arial"/>
              </w:rPr>
              <w:t>Az iskola jövője. (The future of the school.) Budapest, 2017. Noran Libro Publishing</w:t>
            </w:r>
          </w:p>
          <w:p w:rsidR="00E83393" w:rsidRPr="000E2699" w:rsidRDefault="00E83393" w:rsidP="009F52FC">
            <w:pPr>
              <w:numPr>
                <w:ilvl w:val="0"/>
                <w:numId w:val="2"/>
              </w:numPr>
              <w:rPr>
                <w:rFonts w:ascii="Arial" w:hAnsi="Arial" w:cs="Arial"/>
              </w:rPr>
            </w:pPr>
            <w:r w:rsidRPr="000E2699">
              <w:rPr>
                <w:rFonts w:ascii="Arial" w:hAnsi="Arial" w:cs="Arial"/>
              </w:rPr>
              <w:t>Aktivitás – passzivitás. Az aktív polgárrá nevelés esélyeiről. (Activity – passivity. About the chances of education for active citizenship.) In: Egymásra utalva – Összebeszélünk – A III. Ifjúsági Conferencia előadásai. 2016.</w:t>
            </w:r>
          </w:p>
          <w:p w:rsidR="00E83393" w:rsidRPr="000E2699" w:rsidRDefault="00E83393" w:rsidP="009F52FC">
            <w:pPr>
              <w:numPr>
                <w:ilvl w:val="0"/>
                <w:numId w:val="2"/>
              </w:numPr>
              <w:rPr>
                <w:rFonts w:ascii="Arial" w:hAnsi="Arial" w:cs="Arial"/>
              </w:rPr>
            </w:pPr>
            <w:r w:rsidRPr="000E2699">
              <w:rPr>
                <w:rFonts w:ascii="Arial" w:hAnsi="Arial" w:cs="Arial"/>
              </w:rPr>
              <w:t>A rendszerszintű iskolakritika felmorzsolódása. (The termination of systemic reflection on schools.) In: Új Pedagógiai Szemle 2016/7-8.</w:t>
            </w:r>
          </w:p>
          <w:p w:rsidR="006C540B" w:rsidRPr="000E2699" w:rsidRDefault="006C540B" w:rsidP="009F52FC">
            <w:pPr>
              <w:numPr>
                <w:ilvl w:val="0"/>
                <w:numId w:val="2"/>
              </w:numPr>
              <w:rPr>
                <w:rFonts w:ascii="Arial" w:hAnsi="Arial" w:cs="Arial"/>
              </w:rPr>
            </w:pPr>
            <w:r w:rsidRPr="000E2699">
              <w:rPr>
                <w:rFonts w:ascii="Arial" w:hAnsi="Arial" w:cs="Arial"/>
                <w:bCs/>
              </w:rPr>
              <w:t xml:space="preserve">Paulo Santiago, Tony Levitas, Péter Radó and Claire Shewbridge: OECD Reviews of School Resources: </w:t>
            </w:r>
            <w:r w:rsidRPr="000E2699">
              <w:rPr>
                <w:rFonts w:ascii="Arial" w:hAnsi="Arial" w:cs="Arial"/>
              </w:rPr>
              <w:t>Estonia. Paris, OEVD Publishing 2016.</w:t>
            </w:r>
          </w:p>
          <w:p w:rsidR="003F2D39" w:rsidRPr="000E2699" w:rsidRDefault="003F2D39" w:rsidP="009F52FC">
            <w:pPr>
              <w:numPr>
                <w:ilvl w:val="0"/>
                <w:numId w:val="2"/>
              </w:numPr>
              <w:rPr>
                <w:rFonts w:ascii="Arial" w:hAnsi="Arial" w:cs="Arial"/>
              </w:rPr>
            </w:pPr>
            <w:r w:rsidRPr="000E2699">
              <w:rPr>
                <w:rFonts w:ascii="Arial" w:hAnsi="Arial" w:cs="Arial"/>
              </w:rPr>
              <w:t>The Key Underlying Concepts of Contemporary Educational Policies. In: Public Policy Handbook for Higher Education Policies. Edited by Razvan Orasanu. Bucharest, May 2014. UEFISCDI</w:t>
            </w:r>
          </w:p>
          <w:p w:rsidR="003F2D39" w:rsidRPr="000E2699" w:rsidRDefault="003F2D39" w:rsidP="009F52FC">
            <w:pPr>
              <w:numPr>
                <w:ilvl w:val="0"/>
                <w:numId w:val="2"/>
              </w:numPr>
              <w:rPr>
                <w:rFonts w:ascii="Arial" w:hAnsi="Arial" w:cs="Arial"/>
              </w:rPr>
            </w:pPr>
            <w:r w:rsidRPr="000E2699">
              <w:rPr>
                <w:rFonts w:ascii="Arial" w:hAnsi="Arial" w:cs="Arial"/>
              </w:rPr>
              <w:t>A nemzeti együttműködés közoktatás rendszere és a PISA mérések. (Education in the System of National Cooperation and the PISA Surveys.) In: Beszélő, 2014/Február.</w:t>
            </w:r>
          </w:p>
          <w:p w:rsidR="00732648" w:rsidRPr="000E2699" w:rsidRDefault="00732648" w:rsidP="009F52FC">
            <w:pPr>
              <w:numPr>
                <w:ilvl w:val="0"/>
                <w:numId w:val="2"/>
              </w:numPr>
              <w:rPr>
                <w:rFonts w:ascii="Arial" w:hAnsi="Arial" w:cs="Arial"/>
              </w:rPr>
            </w:pPr>
            <w:r w:rsidRPr="000E2699">
              <w:rPr>
                <w:rFonts w:ascii="Arial" w:hAnsi="Arial" w:cs="Arial"/>
              </w:rPr>
              <w:t>Egy végtelen történet: közoktatási decentralizáció Dél-Kelet Európában. (A neverending story: decentralization in education in South-East Europe) In: Educatio. Centralizáció, decentralizáció, demokrácia. 2013/1. szám</w:t>
            </w:r>
          </w:p>
          <w:p w:rsidR="00B72596" w:rsidRPr="000E2699" w:rsidRDefault="00B72596" w:rsidP="009F52FC">
            <w:pPr>
              <w:numPr>
                <w:ilvl w:val="0"/>
                <w:numId w:val="2"/>
              </w:numPr>
              <w:rPr>
                <w:rFonts w:ascii="Arial" w:hAnsi="Arial" w:cs="Arial"/>
              </w:rPr>
            </w:pPr>
            <w:r w:rsidRPr="000E2699">
              <w:rPr>
                <w:rFonts w:ascii="Arial" w:hAnsi="Arial" w:cs="Arial"/>
              </w:rPr>
              <w:t xml:space="preserve">Intézményi önreflexió, minőségirányítás és fejlesztés a magyar közoktatásban. (Institutional sel-reflection, quality managent and development in the Hungarian public education system.) </w:t>
            </w:r>
            <w:r w:rsidRPr="000E2699">
              <w:rPr>
                <w:rFonts w:ascii="Arial" w:hAnsi="Arial" w:cs="Arial"/>
                <w:color w:val="252525"/>
                <w:shd w:val="clear" w:color="auto" w:fill="FFFFFF"/>
              </w:rPr>
              <w:t>Háttértanulmány a "Fehér Könyv az oktatásról" c. stratégia számára. 2013</w:t>
            </w:r>
          </w:p>
          <w:p w:rsidR="009F52FC" w:rsidRPr="000E2699" w:rsidRDefault="009F52FC" w:rsidP="009F52FC">
            <w:pPr>
              <w:numPr>
                <w:ilvl w:val="0"/>
                <w:numId w:val="2"/>
              </w:numPr>
              <w:rPr>
                <w:rFonts w:ascii="Arial" w:hAnsi="Arial" w:cs="Arial"/>
              </w:rPr>
            </w:pPr>
            <w:r w:rsidRPr="000E2699">
              <w:rPr>
                <w:rFonts w:ascii="Arial" w:hAnsi="Arial" w:cs="Arial"/>
                <w:color w:val="222222"/>
                <w:shd w:val="clear" w:color="auto" w:fill="FFFFFF"/>
              </w:rPr>
              <w:t>A sketch on the governance context of educational policy-making. In: Uzdanica Jun 2012, Vol IX.</w:t>
            </w:r>
          </w:p>
          <w:p w:rsidR="009F52FC" w:rsidRPr="000E2699" w:rsidRDefault="009F52FC" w:rsidP="009F52FC">
            <w:pPr>
              <w:numPr>
                <w:ilvl w:val="0"/>
                <w:numId w:val="2"/>
              </w:numPr>
              <w:jc w:val="both"/>
              <w:rPr>
                <w:rFonts w:ascii="Arial" w:hAnsi="Arial" w:cs="Arial"/>
                <w:lang w:val="hu-HU"/>
              </w:rPr>
            </w:pPr>
            <w:r w:rsidRPr="000E2699">
              <w:rPr>
                <w:rFonts w:ascii="Arial" w:hAnsi="Arial" w:cs="Arial"/>
                <w:lang w:val="hu-HU"/>
              </w:rPr>
              <w:t>Regional Educational Performance Patterns in Europe. In: CEPS Journal Vol.1. N3. 2011.</w:t>
            </w:r>
          </w:p>
          <w:p w:rsidR="00B72596" w:rsidRPr="000E2699" w:rsidRDefault="00B72596" w:rsidP="009F52FC">
            <w:pPr>
              <w:numPr>
                <w:ilvl w:val="0"/>
                <w:numId w:val="2"/>
              </w:numPr>
              <w:jc w:val="both"/>
              <w:rPr>
                <w:rFonts w:ascii="Arial" w:hAnsi="Arial" w:cs="Arial"/>
                <w:lang w:val="hu-HU"/>
              </w:rPr>
            </w:pPr>
            <w:r w:rsidRPr="000E2699">
              <w:rPr>
                <w:rFonts w:ascii="Arial" w:hAnsi="Arial" w:cs="Arial"/>
                <w:lang w:val="hu-HU"/>
              </w:rPr>
              <w:t xml:space="preserve">Őfelsége az állam. Az oktatáspolitika elszabadult hajóágyúi. (His Majesty the State.) </w:t>
            </w:r>
            <w:r w:rsidRPr="000E2699">
              <w:rPr>
                <w:rFonts w:ascii="Arial" w:hAnsi="Arial" w:cs="Arial"/>
                <w:color w:val="252525"/>
                <w:shd w:val="clear" w:color="auto" w:fill="FFFFFF"/>
              </w:rPr>
              <w:t>In: Beszélő, 2011/10.szám</w:t>
            </w:r>
          </w:p>
          <w:p w:rsidR="006404F5" w:rsidRPr="000E2699" w:rsidRDefault="006404F5" w:rsidP="00BE3FF8">
            <w:pPr>
              <w:numPr>
                <w:ilvl w:val="0"/>
                <w:numId w:val="2"/>
              </w:numPr>
              <w:jc w:val="both"/>
              <w:rPr>
                <w:rFonts w:ascii="Arial" w:hAnsi="Arial" w:cs="Arial"/>
                <w:lang w:val="hu-HU"/>
              </w:rPr>
            </w:pPr>
            <w:r w:rsidRPr="000E2699">
              <w:rPr>
                <w:rFonts w:ascii="Arial" w:hAnsi="Arial" w:cs="Arial"/>
                <w:lang w:val="hu-HU"/>
              </w:rPr>
              <w:t xml:space="preserve">Oktatásirányítás és oktatáspolitika a Balkánon. </w:t>
            </w:r>
            <w:r w:rsidR="00732648" w:rsidRPr="000E2699">
              <w:rPr>
                <w:rFonts w:ascii="Arial" w:hAnsi="Arial" w:cs="Arial"/>
                <w:lang w:val="hu-HU"/>
              </w:rPr>
              <w:t xml:space="preserve">(Eudcation governance and educational policy on the Balkans) </w:t>
            </w:r>
            <w:r w:rsidRPr="000E2699">
              <w:rPr>
                <w:rFonts w:ascii="Arial" w:hAnsi="Arial" w:cs="Arial"/>
                <w:lang w:val="hu-HU"/>
              </w:rPr>
              <w:t xml:space="preserve">In: Educatio. Oktatás </w:t>
            </w:r>
            <w:r w:rsidR="00D86CA7" w:rsidRPr="000E2699">
              <w:rPr>
                <w:rFonts w:ascii="Arial" w:hAnsi="Arial" w:cs="Arial"/>
                <w:lang w:val="hu-HU"/>
              </w:rPr>
              <w:t>és Politika. 2011. 19/4. szám.</w:t>
            </w:r>
          </w:p>
          <w:p w:rsidR="006404F5" w:rsidRPr="000E2699" w:rsidRDefault="006404F5" w:rsidP="00BE3FF8">
            <w:pPr>
              <w:numPr>
                <w:ilvl w:val="0"/>
                <w:numId w:val="2"/>
              </w:numPr>
              <w:jc w:val="both"/>
              <w:rPr>
                <w:rFonts w:ascii="Arial" w:hAnsi="Arial" w:cs="Arial"/>
                <w:lang w:val="hu-HU"/>
              </w:rPr>
            </w:pPr>
            <w:r w:rsidRPr="000E2699">
              <w:rPr>
                <w:rFonts w:ascii="Arial" w:hAnsi="Arial" w:cs="Arial"/>
                <w:lang w:val="hu-HU"/>
              </w:rPr>
              <w:t>Governing Decentralized Education Systems. Systemic Change in South Eastern Europe. 2010. Local Government and Public Service Reform Initiative, Open Society Institute Budapest.</w:t>
            </w:r>
          </w:p>
          <w:p w:rsidR="006404F5" w:rsidRPr="000E2699" w:rsidRDefault="006404F5" w:rsidP="00BE3FF8">
            <w:pPr>
              <w:numPr>
                <w:ilvl w:val="0"/>
                <w:numId w:val="2"/>
              </w:numPr>
              <w:jc w:val="both"/>
              <w:rPr>
                <w:rFonts w:ascii="Arial" w:hAnsi="Arial" w:cs="Arial"/>
                <w:lang w:val="hu-HU"/>
              </w:rPr>
            </w:pPr>
            <w:r w:rsidRPr="000E2699">
              <w:rPr>
                <w:rFonts w:ascii="Arial" w:hAnsi="Arial" w:cs="Arial"/>
                <w:lang w:val="hu-HU"/>
              </w:rPr>
              <w:t>School Failure in Serbia. In: Psiholoska istrazivanja. Vol.13. br.1. 2010.</w:t>
            </w:r>
          </w:p>
          <w:p w:rsidR="00106C03" w:rsidRPr="000E2699" w:rsidRDefault="00106C03" w:rsidP="00BE3FF8">
            <w:pPr>
              <w:numPr>
                <w:ilvl w:val="0"/>
                <w:numId w:val="2"/>
              </w:numPr>
              <w:jc w:val="both"/>
              <w:rPr>
                <w:rFonts w:ascii="Arial" w:hAnsi="Arial" w:cs="Arial"/>
                <w:lang w:val="hu-HU"/>
              </w:rPr>
            </w:pPr>
            <w:r w:rsidRPr="000E2699">
              <w:rPr>
                <w:rFonts w:ascii="Arial" w:hAnsi="Arial" w:cs="Arial"/>
              </w:rPr>
              <w:t>Equity in Education – Synthesis Report: The Potential and Limitations of the Learning Outcomes Based Approach. Policy-making for equity in education in Austria, the Czech Republic, Hungary, Slovakia and Slovenia. In: Equity in Education. Country Notes of a Central-European Project 2009. Tempus Public Foundation 2009.</w:t>
            </w:r>
          </w:p>
          <w:p w:rsidR="00106C03" w:rsidRPr="000E2699" w:rsidRDefault="00106C03" w:rsidP="00BE3FF8">
            <w:pPr>
              <w:numPr>
                <w:ilvl w:val="0"/>
                <w:numId w:val="2"/>
              </w:numPr>
              <w:jc w:val="both"/>
              <w:rPr>
                <w:rFonts w:ascii="Arial" w:hAnsi="Arial" w:cs="Arial"/>
                <w:lang w:val="hu-HU"/>
              </w:rPr>
            </w:pPr>
            <w:r w:rsidRPr="000E2699">
              <w:rPr>
                <w:rFonts w:ascii="Arial" w:hAnsi="Arial" w:cs="Arial"/>
              </w:rPr>
              <w:t>Decentralizacija na ucilisnovo obrazovanije v Bulgaria. (Decentralization in the Bulgarian education system.) Sofia, 2009. Institut Otvoreno Obsestvo.</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 xml:space="preserve">A tanulási eredményekre orientált megközelítés érvényesülése az oktatási szektorban. (Promoting the learning outcomes based approach in the </w:t>
            </w:r>
            <w:r w:rsidRPr="000E2699">
              <w:rPr>
                <w:rFonts w:ascii="Arial" w:hAnsi="Arial" w:cs="Arial"/>
                <w:lang w:val="hu-HU"/>
              </w:rPr>
              <w:lastRenderedPageBreak/>
              <w:t>Hungarian education sector.) In: Oktatás és képzés 2010. Műhelybeszélgetések 2007. Budapest, 2008. Oktatási és Kulturális Minisztérium</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A szakmai elszámoltathatóság biztosítása a magyar közoktatásban. (Ensuring Professional Accountability int he Hungarian Primary and Secondary Education.) In: Új Pedagógiai Szemle. 2007. december.</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Oktatási egyenlőtlenségek Magyarországon. (Educational Inequalities in Hungary.) In: Esély 2007/4.</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Méltányosság az oktatásban: dimenziók, okok és oktatáspolitikai válaszok. OECD analitikus országjelentés. (Equity in Education: Dimensions, Reasons and Educational Policy Answers. OECD Country Analytical Report.) In: Méltányosság az oktatásban. Két jelentés az oktatás méltányosságáról. Budapest, 2007. Oktatási és Kulturális Minisztérium.</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Professionalizing Teachers: The Wider Policy Context. In: Professional Development. Experiences from educators for educatiors. Edited by: W. Duffie VanBalkom &amp; Snezana Mijatovic. Calgary, 2006. Canadian International Development Agency.</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Államháztartási reform az oktatási szektorban. Oktatáspolitikai jegyzet. (Treasury Reform in the Education Sector. Policy Brief.) In: Új Pedagógiai Szemle 2006/június.</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A fejlesztő értékelés az oktatáspolitika és az oktatásfejlesztés eszközrendszerében. (Formative Assessment in the Toolkit of Educational Policy and the Development of Education) In: Új Pedagógiai Szemle. 2006/március</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 xml:space="preserve">Izkustvoto na politikata: Differencirane na ucitelskite zaplati. (The Art of Policy-Making: Differentiating Teachers’ Salaries) In: Politiki 05/06. 2006. Sofia. </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(Radó Péter and others) Kistelepülések kisiskolái.  (Small Schools of Small Settlements.) Az Oktatáspolitikai Elemzések Központja nyilvános közpolitikai elemzése. Budapest, suliNova Kht., 2005.</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Támogató rendszerek a pedagógusok munkájában. (Support Services for the Work of Teachers) In: A pedagógusszakma megújításának kihívásai. Oktatási Minisztérium. 2005.</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(Péter Radó and others) Tanulás Magyarországon. (Learning in Hungary) Az Oktatáspolitikai Elemzések Központja nyilvános közpolitikai elemzése. Budapest, Sulinova Kht. 2005.</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Educational policy centers seek to inform reform. In: Local Government Brief. Spring-Summer, 2005.</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(Péter Radó and others) Fenntartható-e a közoktatás? Hatékonysági szempontok érvényesítése a közoktatásban. (Is education sustainable? Asserting effectiveness in public education.) Az Oktatáspolitikai Elemzések Központja nyilvános közpolitikai elemzése. Budapest, Országos Közoktatási Intézet, 2004.</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Decentralization and the Governance of Education. An Introductory Summary. In: Decentralization and the Governance of Education. The State of Education Systems on Bosnia and Herzegovina, Poland and Romania. (Szerk: Radó Péter) Budapest, 2004. OSI/LGI, LGI Fellowship Series.</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A tanulásfejlesztés politikája. (Policy for Improving Learning) In: A tanuló felnőtt – a felnőtt tanuló. Felnőttoktatási Akadémia 2003. Budapest, 2004. Országos Közoktatási Intézet.</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A közoktatás tartalmi szabályozásának rendszere Magyarországon. (The System of Content Regulation in Hungary) In: Önkormányzat és közoktatás. Budapest, 2004. Országos Közoktatási Intézet.</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A humánerőforrás-fejlesztési operatív program és a roma tanulók oktatása. (The Operational Program for Human Resource Development and the Education of Roma Children.) In: Educatio, 2003/Tél</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(Péter Radó and others) A közoktatás tartalmi szabályozásának rendszere Magyarországon. (The system of content regulation in Hungary.) Az Oktatáspolitikai Elemzések Központja nyilvános közpolitikai elemzése. Budapest, Országos Közoktatási Intézet, 2003.</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 xml:space="preserve">(with Éva Révész) The Role of Hungarian County Public Education Funds in the Development of the Primary and Secondary Education of Roma </w:t>
            </w:r>
            <w:r w:rsidRPr="000E2699">
              <w:rPr>
                <w:rFonts w:ascii="Arial" w:hAnsi="Arial" w:cs="Arial"/>
                <w:lang w:val="hu-HU"/>
              </w:rPr>
              <w:lastRenderedPageBreak/>
              <w:t>Pupils. Budapest, 2003. Local Government and Public Service Reform Initiative – Open Society Institute</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(with Erzsébet Czachesz) Oktatási egyenlőtlenségek és speciális igények. (Educational Inequalities and Special Needs) In: Jelentés a magyar közoktatásról 2</w:t>
            </w:r>
            <w:r w:rsidRPr="000E2699">
              <w:rPr>
                <w:rFonts w:ascii="Arial" w:hAnsi="Arial" w:cs="Arial"/>
              </w:rPr>
              <w:t>003. (Szerk:</w:t>
            </w:r>
            <w:r w:rsidRPr="000E2699">
              <w:rPr>
                <w:rFonts w:ascii="Arial" w:hAnsi="Arial" w:cs="Arial"/>
                <w:lang w:val="hu-HU"/>
              </w:rPr>
              <w:t xml:space="preserve"> Halász Gábor és Lannert Judit) Budapest, 2</w:t>
            </w:r>
            <w:r w:rsidRPr="000E2699">
              <w:rPr>
                <w:rFonts w:ascii="Arial" w:hAnsi="Arial" w:cs="Arial"/>
              </w:rPr>
              <w:t>003.</w:t>
            </w:r>
            <w:r w:rsidRPr="000E2699">
              <w:rPr>
                <w:rFonts w:ascii="Arial" w:hAnsi="Arial" w:cs="Arial"/>
                <w:lang w:val="hu-HU"/>
              </w:rPr>
              <w:t xml:space="preserve"> Országos Közoktatási Intézet.</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A leszakadó, hátrányos helyzetű társadalmi csoportok oktatásának, képzésének lehetőségei a tudásalapú társadalomban. (The Education of Disadvantaged Groups in the Knowledge-based Society) In: A tanulás kora. Felnőttoktatási Akadémia 2002. Budapest, Országos Közoktatási Intézet, 2003.</w:t>
            </w:r>
          </w:p>
          <w:p w:rsidR="00106C03" w:rsidRPr="000E2699" w:rsidRDefault="00106C03" w:rsidP="00BE3FF8">
            <w:pPr>
              <w:numPr>
                <w:ilvl w:val="0"/>
                <w:numId w:val="2"/>
              </w:numPr>
              <w:jc w:val="both"/>
              <w:rPr>
                <w:rFonts w:ascii="Arial" w:hAnsi="Arial" w:cs="Arial"/>
              </w:rPr>
            </w:pPr>
            <w:r w:rsidRPr="000E2699">
              <w:rPr>
                <w:rFonts w:ascii="Arial" w:hAnsi="Arial" w:cs="Arial"/>
              </w:rPr>
              <w:t>Myth or Reality? High Quality Education in Central and Eastern Europe. In: Degrees of Separation. Schools and Students behind the Education Curtain. Local Government Brief Fall/2002.</w:t>
            </w:r>
          </w:p>
          <w:p w:rsidR="00106C03" w:rsidRPr="000E2699" w:rsidRDefault="00106C03" w:rsidP="00BE3FF8">
            <w:pPr>
              <w:numPr>
                <w:ilvl w:val="0"/>
                <w:numId w:val="2"/>
              </w:numPr>
              <w:jc w:val="both"/>
              <w:rPr>
                <w:rFonts w:ascii="Arial" w:hAnsi="Arial" w:cs="Arial"/>
              </w:rPr>
            </w:pPr>
            <w:r w:rsidRPr="000E2699">
              <w:rPr>
                <w:rFonts w:ascii="Arial" w:hAnsi="Arial" w:cs="Arial"/>
              </w:rPr>
              <w:t xml:space="preserve">Roma Students in the Hungarian Education System. In: Ethnic Minorities and Inter-Ethnic Relations in Context. A Dutch-Hungarian comparison. (edited by K. Phalet and A. </w:t>
            </w:r>
            <w:r w:rsidRPr="000E2699">
              <w:rPr>
                <w:rFonts w:ascii="Arial" w:hAnsi="Arial" w:cs="Arial"/>
                <w:lang w:val="hu-HU"/>
              </w:rPr>
              <w:t>Örkény</w:t>
            </w:r>
            <w:r w:rsidRPr="000E2699">
              <w:rPr>
                <w:rFonts w:ascii="Arial" w:hAnsi="Arial" w:cs="Arial"/>
              </w:rPr>
              <w:t>) 2001. Ashgate</w:t>
            </w:r>
          </w:p>
          <w:p w:rsidR="00106C03" w:rsidRPr="000E2699" w:rsidRDefault="00106C03" w:rsidP="00BE3FF8">
            <w:pPr>
              <w:numPr>
                <w:ilvl w:val="0"/>
                <w:numId w:val="2"/>
              </w:numPr>
              <w:jc w:val="both"/>
              <w:rPr>
                <w:rFonts w:ascii="Arial" w:hAnsi="Arial" w:cs="Arial"/>
              </w:rPr>
            </w:pPr>
            <w:r w:rsidRPr="000E2699">
              <w:rPr>
                <w:rFonts w:ascii="Arial" w:hAnsi="Arial" w:cs="Arial"/>
                <w:lang w:val="hu-HU"/>
              </w:rPr>
              <w:t xml:space="preserve">Bevezetés az oktatáspolitikai elemzésbe: romák és az iskola. </w:t>
            </w:r>
            <w:r w:rsidRPr="000E2699">
              <w:rPr>
                <w:rFonts w:ascii="Arial" w:hAnsi="Arial" w:cs="Arial"/>
              </w:rPr>
              <w:t xml:space="preserve">(Introduction to Educational Policy Analysis: Roma and the Schools.) In: </w:t>
            </w:r>
            <w:r w:rsidRPr="000E2699">
              <w:rPr>
                <w:rFonts w:ascii="Arial" w:hAnsi="Arial" w:cs="Arial"/>
                <w:lang w:val="hu-HU"/>
              </w:rPr>
              <w:t>Iskolakultúra, 2</w:t>
            </w:r>
            <w:r w:rsidRPr="000E2699">
              <w:rPr>
                <w:rFonts w:ascii="Arial" w:hAnsi="Arial" w:cs="Arial"/>
              </w:rPr>
              <w:t>001. December</w:t>
            </w:r>
          </w:p>
          <w:p w:rsidR="00106C03" w:rsidRPr="000E2699" w:rsidRDefault="00106C03" w:rsidP="00BE3FF8">
            <w:pPr>
              <w:numPr>
                <w:ilvl w:val="0"/>
                <w:numId w:val="2"/>
              </w:numPr>
              <w:jc w:val="both"/>
              <w:rPr>
                <w:rFonts w:ascii="Arial" w:hAnsi="Arial" w:cs="Arial"/>
              </w:rPr>
            </w:pPr>
            <w:r w:rsidRPr="000E2699">
              <w:rPr>
                <w:rFonts w:ascii="Arial" w:hAnsi="Arial" w:cs="Arial"/>
              </w:rPr>
              <w:t>The Hungarian Reform Experience. In: Proceedings of the Educational Policy Workshop January 24-27, 2001. Kyiv, 2001. International Renaissance Foundation.</w:t>
            </w:r>
          </w:p>
          <w:p w:rsidR="00106C03" w:rsidRPr="000E2699" w:rsidRDefault="00106C03" w:rsidP="00BE3FF8">
            <w:pPr>
              <w:numPr>
                <w:ilvl w:val="0"/>
                <w:numId w:val="2"/>
              </w:numPr>
              <w:jc w:val="both"/>
              <w:rPr>
                <w:rFonts w:ascii="Arial" w:hAnsi="Arial" w:cs="Arial"/>
              </w:rPr>
            </w:pPr>
            <w:r w:rsidRPr="000E2699">
              <w:rPr>
                <w:rFonts w:ascii="Arial" w:hAnsi="Arial" w:cs="Arial"/>
              </w:rPr>
              <w:t>Roma Education Policies in Hungary. In: The Roma Education Resource Book. (</w:t>
            </w:r>
            <w:proofErr w:type="spellStart"/>
            <w:r w:rsidRPr="000E2699">
              <w:rPr>
                <w:rFonts w:ascii="Arial" w:hAnsi="Arial" w:cs="Arial"/>
              </w:rPr>
              <w:t>edited</w:t>
            </w:r>
            <w:proofErr w:type="spellEnd"/>
            <w:r w:rsidRPr="000E2699">
              <w:rPr>
                <w:rFonts w:ascii="Arial" w:hAnsi="Arial" w:cs="Arial"/>
              </w:rPr>
              <w:t xml:space="preserve"> </w:t>
            </w:r>
            <w:proofErr w:type="spellStart"/>
            <w:r w:rsidRPr="000E2699">
              <w:rPr>
                <w:rFonts w:ascii="Arial" w:hAnsi="Arial" w:cs="Arial"/>
              </w:rPr>
              <w:t>by</w:t>
            </w:r>
            <w:proofErr w:type="spellEnd"/>
            <w:r w:rsidRPr="000E2699">
              <w:rPr>
                <w:rFonts w:ascii="Arial" w:hAnsi="Arial" w:cs="Arial"/>
              </w:rPr>
              <w:t xml:space="preserve"> McDonald-</w:t>
            </w:r>
            <w:r w:rsidRPr="000E2699">
              <w:rPr>
                <w:rFonts w:ascii="Arial" w:hAnsi="Arial" w:cs="Arial"/>
                <w:lang w:val="hu-HU"/>
              </w:rPr>
              <w:t xml:space="preserve">Kovács-Fényes) </w:t>
            </w:r>
            <w:r w:rsidRPr="000E2699">
              <w:rPr>
                <w:rFonts w:ascii="Arial" w:hAnsi="Arial" w:cs="Arial"/>
              </w:rPr>
              <w:t>2001. Institute for Educational Policy, Open Society Institute Budapest.</w:t>
            </w:r>
          </w:p>
          <w:p w:rsidR="00106C03" w:rsidRPr="000E2699" w:rsidRDefault="00106C03" w:rsidP="00BE3FF8">
            <w:pPr>
              <w:numPr>
                <w:ilvl w:val="0"/>
                <w:numId w:val="2"/>
              </w:numPr>
              <w:jc w:val="both"/>
              <w:rPr>
                <w:rFonts w:ascii="Arial" w:hAnsi="Arial" w:cs="Arial"/>
              </w:rPr>
            </w:pPr>
            <w:r w:rsidRPr="000E2699">
              <w:rPr>
                <w:rFonts w:ascii="Arial" w:hAnsi="Arial" w:cs="Arial"/>
              </w:rPr>
              <w:t>Transition in Education. Policy Making and the Key Educational Policy Areas in the Central-European and Baltic Countries. Budapest, 2001. Institute for Educational Policy – Open Society Institute Budapest.</w:t>
            </w:r>
          </w:p>
          <w:p w:rsidR="00106C03" w:rsidRPr="000E2699" w:rsidRDefault="00106C03" w:rsidP="00BE3FF8">
            <w:pPr>
              <w:numPr>
                <w:ilvl w:val="0"/>
                <w:numId w:val="2"/>
              </w:numPr>
              <w:jc w:val="both"/>
              <w:rPr>
                <w:rFonts w:ascii="Arial" w:hAnsi="Arial" w:cs="Arial"/>
              </w:rPr>
            </w:pPr>
            <w:r w:rsidRPr="000E2699">
              <w:rPr>
                <w:rFonts w:ascii="Arial" w:hAnsi="Arial" w:cs="Arial"/>
              </w:rPr>
              <w:t xml:space="preserve">Reform maraton: a kilencvenes </w:t>
            </w:r>
            <w:r w:rsidRPr="000E2699">
              <w:rPr>
                <w:rFonts w:ascii="Arial" w:hAnsi="Arial" w:cs="Arial"/>
                <w:lang w:val="hu-HU"/>
              </w:rPr>
              <w:t xml:space="preserve">évek </w:t>
            </w:r>
            <w:r w:rsidRPr="000E2699">
              <w:rPr>
                <w:rFonts w:ascii="Arial" w:hAnsi="Arial" w:cs="Arial"/>
              </w:rPr>
              <w:t xml:space="preserve">(Reform Marathon: the Nineties) In: </w:t>
            </w:r>
            <w:r w:rsidRPr="000E2699">
              <w:rPr>
                <w:rFonts w:ascii="Arial" w:hAnsi="Arial" w:cs="Arial"/>
                <w:lang w:val="hu-HU"/>
              </w:rPr>
              <w:t xml:space="preserve">Iskolakultúra, </w:t>
            </w:r>
            <w:r w:rsidRPr="000E2699">
              <w:rPr>
                <w:rFonts w:ascii="Arial" w:hAnsi="Arial" w:cs="Arial"/>
              </w:rPr>
              <w:t xml:space="preserve">2001. </w:t>
            </w:r>
            <w:r w:rsidRPr="000E2699">
              <w:rPr>
                <w:rFonts w:ascii="Arial" w:hAnsi="Arial" w:cs="Arial"/>
                <w:lang w:val="hu-HU"/>
              </w:rPr>
              <w:t>Április.</w:t>
            </w:r>
          </w:p>
          <w:p w:rsidR="00106C03" w:rsidRPr="000E2699" w:rsidRDefault="00106C03" w:rsidP="00BE3FF8">
            <w:pPr>
              <w:numPr>
                <w:ilvl w:val="0"/>
                <w:numId w:val="2"/>
              </w:numPr>
              <w:jc w:val="both"/>
              <w:rPr>
                <w:rFonts w:ascii="Arial" w:hAnsi="Arial" w:cs="Arial"/>
              </w:rPr>
            </w:pPr>
            <w:r w:rsidRPr="000E2699">
              <w:rPr>
                <w:rFonts w:ascii="Arial" w:hAnsi="Arial" w:cs="Arial"/>
                <w:lang w:val="hu-HU"/>
              </w:rPr>
              <w:t xml:space="preserve">Társadalmi kohézió és oktatáspolitika. </w:t>
            </w:r>
            <w:r w:rsidRPr="000E2699">
              <w:rPr>
                <w:rFonts w:ascii="Arial" w:hAnsi="Arial" w:cs="Arial"/>
              </w:rPr>
              <w:t xml:space="preserve">(Social </w:t>
            </w:r>
            <w:proofErr w:type="spellStart"/>
            <w:r w:rsidRPr="000E2699">
              <w:rPr>
                <w:rFonts w:ascii="Arial" w:hAnsi="Arial" w:cs="Arial"/>
              </w:rPr>
              <w:t>Cohesion</w:t>
            </w:r>
            <w:proofErr w:type="spellEnd"/>
            <w:r w:rsidRPr="000E2699">
              <w:rPr>
                <w:rFonts w:ascii="Arial" w:hAnsi="Arial" w:cs="Arial"/>
              </w:rPr>
              <w:t xml:space="preserve"> and </w:t>
            </w:r>
            <w:proofErr w:type="spellStart"/>
            <w:r w:rsidRPr="000E2699">
              <w:rPr>
                <w:rFonts w:ascii="Arial" w:hAnsi="Arial" w:cs="Arial"/>
              </w:rPr>
              <w:t>Educational</w:t>
            </w:r>
            <w:proofErr w:type="spellEnd"/>
            <w:r w:rsidRPr="000E2699">
              <w:rPr>
                <w:rFonts w:ascii="Arial" w:hAnsi="Arial" w:cs="Arial"/>
              </w:rPr>
              <w:t xml:space="preserve"> </w:t>
            </w:r>
            <w:proofErr w:type="spellStart"/>
            <w:r w:rsidRPr="000E2699">
              <w:rPr>
                <w:rFonts w:ascii="Arial" w:hAnsi="Arial" w:cs="Arial"/>
              </w:rPr>
              <w:t>policy</w:t>
            </w:r>
            <w:proofErr w:type="spellEnd"/>
            <w:r w:rsidRPr="000E2699">
              <w:rPr>
                <w:rFonts w:ascii="Arial" w:hAnsi="Arial" w:cs="Arial"/>
              </w:rPr>
              <w:t xml:space="preserve">) </w:t>
            </w:r>
            <w:r w:rsidRPr="000E2699">
              <w:rPr>
                <w:rFonts w:ascii="Arial" w:hAnsi="Arial" w:cs="Arial"/>
                <w:lang w:val="hu-HU"/>
              </w:rPr>
              <w:t>In: Új Pedagógiai Szemle, 2</w:t>
            </w:r>
            <w:r w:rsidRPr="000E2699">
              <w:rPr>
                <w:rFonts w:ascii="Arial" w:hAnsi="Arial" w:cs="Arial"/>
              </w:rPr>
              <w:t xml:space="preserve">001. </w:t>
            </w:r>
            <w:r w:rsidRPr="000E2699">
              <w:rPr>
                <w:rFonts w:ascii="Arial" w:hAnsi="Arial" w:cs="Arial"/>
                <w:lang w:val="hu-HU"/>
              </w:rPr>
              <w:t>Február</w:t>
            </w:r>
          </w:p>
          <w:p w:rsidR="00106C03" w:rsidRPr="000E2699" w:rsidRDefault="00106C03" w:rsidP="00BE3FF8">
            <w:pPr>
              <w:numPr>
                <w:ilvl w:val="0"/>
                <w:numId w:val="2"/>
              </w:numPr>
              <w:jc w:val="both"/>
              <w:rPr>
                <w:rFonts w:ascii="Arial" w:hAnsi="Arial" w:cs="Arial"/>
              </w:rPr>
            </w:pPr>
            <w:r w:rsidRPr="000E2699">
              <w:rPr>
                <w:rFonts w:ascii="Arial" w:hAnsi="Arial" w:cs="Arial"/>
                <w:lang w:val="hu-HU"/>
              </w:rPr>
              <w:t xml:space="preserve">Kisebbségek oktatása a Balkánon. </w:t>
            </w:r>
            <w:r w:rsidRPr="000E2699">
              <w:rPr>
                <w:rFonts w:ascii="Arial" w:hAnsi="Arial" w:cs="Arial"/>
              </w:rPr>
              <w:t>(</w:t>
            </w:r>
            <w:proofErr w:type="spellStart"/>
            <w:r w:rsidRPr="000E2699">
              <w:rPr>
                <w:rFonts w:ascii="Arial" w:hAnsi="Arial" w:cs="Arial"/>
              </w:rPr>
              <w:t>Education</w:t>
            </w:r>
            <w:proofErr w:type="spellEnd"/>
            <w:r w:rsidRPr="000E2699">
              <w:rPr>
                <w:rFonts w:ascii="Arial" w:hAnsi="Arial" w:cs="Arial"/>
              </w:rPr>
              <w:t xml:space="preserve"> </w:t>
            </w:r>
            <w:proofErr w:type="spellStart"/>
            <w:r w:rsidRPr="000E2699">
              <w:rPr>
                <w:rFonts w:ascii="Arial" w:hAnsi="Arial" w:cs="Arial"/>
              </w:rPr>
              <w:t>of</w:t>
            </w:r>
            <w:proofErr w:type="spellEnd"/>
            <w:r w:rsidRPr="000E2699">
              <w:rPr>
                <w:rFonts w:ascii="Arial" w:hAnsi="Arial" w:cs="Arial"/>
              </w:rPr>
              <w:t xml:space="preserve"> </w:t>
            </w:r>
            <w:proofErr w:type="spellStart"/>
            <w:r w:rsidRPr="000E2699">
              <w:rPr>
                <w:rFonts w:ascii="Arial" w:hAnsi="Arial" w:cs="Arial"/>
              </w:rPr>
              <w:t>Minorities</w:t>
            </w:r>
            <w:proofErr w:type="spellEnd"/>
            <w:r w:rsidRPr="000E2699">
              <w:rPr>
                <w:rFonts w:ascii="Arial" w:hAnsi="Arial" w:cs="Arial"/>
              </w:rPr>
              <w:t xml:space="preserve"> </w:t>
            </w:r>
            <w:proofErr w:type="spellStart"/>
            <w:r w:rsidRPr="000E2699">
              <w:rPr>
                <w:rFonts w:ascii="Arial" w:hAnsi="Arial" w:cs="Arial"/>
              </w:rPr>
              <w:t>on</w:t>
            </w:r>
            <w:proofErr w:type="spellEnd"/>
            <w:r w:rsidRPr="000E2699">
              <w:rPr>
                <w:rFonts w:ascii="Arial" w:hAnsi="Arial" w:cs="Arial"/>
              </w:rPr>
              <w:t xml:space="preserve"> </w:t>
            </w:r>
            <w:proofErr w:type="spellStart"/>
            <w:r w:rsidRPr="000E2699">
              <w:rPr>
                <w:rFonts w:ascii="Arial" w:hAnsi="Arial" w:cs="Arial"/>
              </w:rPr>
              <w:t>the</w:t>
            </w:r>
            <w:proofErr w:type="spellEnd"/>
            <w:r w:rsidRPr="000E2699">
              <w:rPr>
                <w:rFonts w:ascii="Arial" w:hAnsi="Arial" w:cs="Arial"/>
              </w:rPr>
              <w:t xml:space="preserve"> </w:t>
            </w:r>
            <w:proofErr w:type="spellStart"/>
            <w:r w:rsidRPr="000E2699">
              <w:rPr>
                <w:rFonts w:ascii="Arial" w:hAnsi="Arial" w:cs="Arial"/>
              </w:rPr>
              <w:t>Balkans</w:t>
            </w:r>
            <w:proofErr w:type="spellEnd"/>
            <w:r w:rsidRPr="000E2699">
              <w:rPr>
                <w:rFonts w:ascii="Arial" w:hAnsi="Arial" w:cs="Arial"/>
              </w:rPr>
              <w:t xml:space="preserve">) </w:t>
            </w:r>
            <w:r w:rsidRPr="000E2699">
              <w:rPr>
                <w:rFonts w:ascii="Arial" w:hAnsi="Arial" w:cs="Arial"/>
                <w:lang w:val="hu-HU"/>
              </w:rPr>
              <w:t xml:space="preserve">In: Educatio, </w:t>
            </w:r>
            <w:r w:rsidRPr="000E2699">
              <w:rPr>
                <w:rFonts w:ascii="Arial" w:hAnsi="Arial" w:cs="Arial"/>
              </w:rPr>
              <w:t>2000/Nyár</w:t>
            </w:r>
            <w:r w:rsidRPr="000E2699">
              <w:rPr>
                <w:rFonts w:ascii="Arial" w:hAnsi="Arial" w:cs="Arial"/>
                <w:lang w:val="hu-HU"/>
              </w:rPr>
              <w:t>.</w:t>
            </w:r>
          </w:p>
          <w:p w:rsidR="00106C03" w:rsidRPr="000E2699" w:rsidRDefault="00106C03" w:rsidP="00BE3FF8">
            <w:pPr>
              <w:numPr>
                <w:ilvl w:val="0"/>
                <w:numId w:val="2"/>
              </w:numPr>
              <w:jc w:val="both"/>
              <w:rPr>
                <w:rFonts w:ascii="Arial" w:hAnsi="Arial" w:cs="Arial"/>
              </w:rPr>
            </w:pPr>
            <w:r w:rsidRPr="000E2699">
              <w:rPr>
                <w:rFonts w:ascii="Arial" w:hAnsi="Arial" w:cs="Arial"/>
                <w:lang w:val="hu-HU"/>
              </w:rPr>
              <w:t xml:space="preserve">Miről is beszélünk? </w:t>
            </w:r>
            <w:r w:rsidRPr="000E2699">
              <w:rPr>
                <w:rFonts w:ascii="Arial" w:hAnsi="Arial" w:cs="Arial"/>
              </w:rPr>
              <w:t xml:space="preserve">(What are we talking about?) In: </w:t>
            </w:r>
            <w:r w:rsidRPr="000E2699">
              <w:rPr>
                <w:rFonts w:ascii="Arial" w:hAnsi="Arial" w:cs="Arial"/>
                <w:lang w:val="hu-HU"/>
              </w:rPr>
              <w:t xml:space="preserve">Cigánynak születni. Tanulmányok, dokumentumok. </w:t>
            </w:r>
            <w:r w:rsidRPr="000E2699">
              <w:rPr>
                <w:rFonts w:ascii="Arial" w:hAnsi="Arial" w:cs="Arial"/>
              </w:rPr>
              <w:t xml:space="preserve">(Born to be Gipsy. Studies and documents) </w:t>
            </w:r>
            <w:r w:rsidRPr="000E2699">
              <w:rPr>
                <w:rFonts w:ascii="Arial" w:hAnsi="Arial" w:cs="Arial"/>
                <w:lang w:val="hu-HU"/>
              </w:rPr>
              <w:t>(</w:t>
            </w:r>
            <w:r w:rsidRPr="000E2699">
              <w:rPr>
                <w:rFonts w:ascii="Arial" w:hAnsi="Arial" w:cs="Arial"/>
              </w:rPr>
              <w:t>Szerk. Hováth – Landau – Szalai)Budapest, 2000. Akt</w:t>
            </w:r>
            <w:r w:rsidRPr="000E2699">
              <w:rPr>
                <w:rFonts w:ascii="Arial" w:hAnsi="Arial" w:cs="Arial"/>
                <w:lang w:val="hu-HU"/>
              </w:rPr>
              <w:t>ív Társadalom Alapítvány – Új Mandátum Kiadó</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Speciális igények az oktatásban. (Special Needs in Education) In: Jelentés a magyar közoktatásról 2</w:t>
            </w:r>
            <w:r w:rsidRPr="000E2699">
              <w:rPr>
                <w:rFonts w:ascii="Arial" w:hAnsi="Arial" w:cs="Arial"/>
              </w:rPr>
              <w:t>000. (Szerk:</w:t>
            </w:r>
            <w:r w:rsidRPr="000E2699">
              <w:rPr>
                <w:rFonts w:ascii="Arial" w:hAnsi="Arial" w:cs="Arial"/>
                <w:lang w:val="hu-HU"/>
              </w:rPr>
              <w:t xml:space="preserve"> Halász Gábor és Lannert Judit) Budapest, 2</w:t>
            </w:r>
            <w:r w:rsidRPr="000E2699">
              <w:rPr>
                <w:rFonts w:ascii="Arial" w:hAnsi="Arial" w:cs="Arial"/>
              </w:rPr>
              <w:t>000.</w:t>
            </w:r>
            <w:r w:rsidRPr="000E2699">
              <w:rPr>
                <w:rFonts w:ascii="Arial" w:hAnsi="Arial" w:cs="Arial"/>
                <w:lang w:val="hu-HU"/>
              </w:rPr>
              <w:t xml:space="preserve"> Országos Közoktatási Intézet.</w:t>
            </w:r>
          </w:p>
          <w:p w:rsidR="00106C03" w:rsidRPr="000E2699" w:rsidRDefault="00106C03" w:rsidP="00BE3FF8">
            <w:pPr>
              <w:numPr>
                <w:ilvl w:val="0"/>
                <w:numId w:val="2"/>
              </w:numPr>
              <w:jc w:val="both"/>
              <w:rPr>
                <w:rFonts w:ascii="Arial" w:hAnsi="Arial" w:cs="Arial"/>
                <w:lang w:val="hu-HU"/>
              </w:rPr>
            </w:pPr>
            <w:r w:rsidRPr="000E2699">
              <w:rPr>
                <w:rFonts w:ascii="Arial" w:hAnsi="Arial" w:cs="Arial"/>
                <w:lang w:val="hu-HU"/>
              </w:rPr>
              <w:t xml:space="preserve">Egyenlőtlenségek és méltányosság a közoktatásban. </w:t>
            </w:r>
            <w:r w:rsidRPr="000E2699">
              <w:rPr>
                <w:rFonts w:ascii="Arial" w:hAnsi="Arial" w:cs="Arial"/>
              </w:rPr>
              <w:t xml:space="preserve">(Inequalities and Equity in Education. </w:t>
            </w:r>
            <w:r w:rsidRPr="000E2699">
              <w:rPr>
                <w:rFonts w:ascii="Arial" w:hAnsi="Arial" w:cs="Arial"/>
                <w:lang w:val="hu-HU"/>
              </w:rPr>
              <w:t>In: Jelentés a magyar közoktatásról 2</w:t>
            </w:r>
            <w:r w:rsidRPr="000E2699">
              <w:rPr>
                <w:rFonts w:ascii="Arial" w:hAnsi="Arial" w:cs="Arial"/>
              </w:rPr>
              <w:t>000. (Szerk:</w:t>
            </w:r>
            <w:r w:rsidRPr="000E2699">
              <w:rPr>
                <w:rFonts w:ascii="Arial" w:hAnsi="Arial" w:cs="Arial"/>
                <w:lang w:val="hu-HU"/>
              </w:rPr>
              <w:t xml:space="preserve"> Halász Gábor és Lannert Judit) Budapest, 2</w:t>
            </w:r>
            <w:r w:rsidRPr="000E2699">
              <w:rPr>
                <w:rFonts w:ascii="Arial" w:hAnsi="Arial" w:cs="Arial"/>
              </w:rPr>
              <w:t>000.</w:t>
            </w:r>
            <w:r w:rsidRPr="000E2699">
              <w:rPr>
                <w:rFonts w:ascii="Arial" w:hAnsi="Arial" w:cs="Arial"/>
                <w:lang w:val="hu-HU"/>
              </w:rPr>
              <w:t xml:space="preserve"> Országos Közoktatási Intézet.</w:t>
            </w:r>
          </w:p>
          <w:p w:rsidR="00106C03" w:rsidRPr="000E2699" w:rsidRDefault="00106C03" w:rsidP="00BE3FF8">
            <w:pPr>
              <w:numPr>
                <w:ilvl w:val="0"/>
                <w:numId w:val="2"/>
              </w:numPr>
              <w:tabs>
                <w:tab w:val="left" w:pos="8931"/>
              </w:tabs>
              <w:jc w:val="both"/>
              <w:rPr>
                <w:rFonts w:ascii="Arial" w:hAnsi="Arial" w:cs="Arial"/>
                <w:lang w:val="hu-HU"/>
              </w:rPr>
            </w:pPr>
            <w:r w:rsidRPr="000E2699">
              <w:rPr>
                <w:rFonts w:ascii="Arial" w:hAnsi="Arial" w:cs="Arial"/>
                <w:lang w:val="hu-HU"/>
              </w:rPr>
              <w:t>Esélyegyenlőség és oktatáspolitika.</w:t>
            </w:r>
            <w:r w:rsidRPr="000E2699">
              <w:rPr>
                <w:rFonts w:ascii="Arial" w:hAnsi="Arial" w:cs="Arial"/>
              </w:rPr>
              <w:t>(Equity</w:t>
            </w:r>
            <w:r w:rsidRPr="000E2699">
              <w:rPr>
                <w:rFonts w:ascii="Arial" w:hAnsi="Arial" w:cs="Arial"/>
                <w:lang w:val="hu-HU"/>
              </w:rPr>
              <w:t xml:space="preserve"> and Educational Policy) In: Esélyteremtés és iskola. Lillafüred, 1999. Új Pedagógiai Szemle – BAZ Megyei Pedagógiai Intézet.</w:t>
            </w:r>
          </w:p>
          <w:p w:rsidR="00106C03" w:rsidRPr="000E2699" w:rsidRDefault="00106C03" w:rsidP="00BE3FF8">
            <w:pPr>
              <w:numPr>
                <w:ilvl w:val="0"/>
                <w:numId w:val="2"/>
              </w:numPr>
              <w:tabs>
                <w:tab w:val="left" w:pos="8931"/>
              </w:tabs>
              <w:jc w:val="both"/>
              <w:rPr>
                <w:rFonts w:ascii="Arial" w:hAnsi="Arial" w:cs="Arial"/>
                <w:lang w:val="hu-HU"/>
              </w:rPr>
            </w:pPr>
            <w:r w:rsidRPr="000E2699">
              <w:rPr>
                <w:rFonts w:ascii="Arial" w:hAnsi="Arial" w:cs="Arial"/>
                <w:lang w:val="hu-HU"/>
              </w:rPr>
              <w:t xml:space="preserve">Hátrányok és hátránykompenzálás az oktatásban. </w:t>
            </w:r>
            <w:r w:rsidRPr="000E2699">
              <w:rPr>
                <w:rFonts w:ascii="Arial" w:hAnsi="Arial" w:cs="Arial"/>
              </w:rPr>
              <w:t>(</w:t>
            </w:r>
            <w:proofErr w:type="spellStart"/>
            <w:r w:rsidRPr="000E2699">
              <w:rPr>
                <w:rFonts w:ascii="Arial" w:hAnsi="Arial" w:cs="Arial"/>
              </w:rPr>
              <w:t>Disadvantages</w:t>
            </w:r>
            <w:proofErr w:type="spellEnd"/>
            <w:r w:rsidRPr="000E2699">
              <w:rPr>
                <w:rFonts w:ascii="Arial" w:hAnsi="Arial" w:cs="Arial"/>
              </w:rPr>
              <w:t xml:space="preserve"> and </w:t>
            </w:r>
            <w:proofErr w:type="spellStart"/>
            <w:r w:rsidRPr="000E2699">
              <w:rPr>
                <w:rFonts w:ascii="Arial" w:hAnsi="Arial" w:cs="Arial"/>
              </w:rPr>
              <w:t>their</w:t>
            </w:r>
            <w:proofErr w:type="spellEnd"/>
            <w:r w:rsidRPr="000E2699">
              <w:rPr>
                <w:rFonts w:ascii="Arial" w:hAnsi="Arial" w:cs="Arial"/>
              </w:rPr>
              <w:t xml:space="preserve"> </w:t>
            </w:r>
            <w:proofErr w:type="spellStart"/>
            <w:r w:rsidRPr="000E2699">
              <w:rPr>
                <w:rFonts w:ascii="Arial" w:hAnsi="Arial" w:cs="Arial"/>
              </w:rPr>
              <w:t>Compensation</w:t>
            </w:r>
            <w:proofErr w:type="spellEnd"/>
            <w:r w:rsidRPr="000E2699">
              <w:rPr>
                <w:rFonts w:ascii="Arial" w:hAnsi="Arial" w:cs="Arial"/>
              </w:rPr>
              <w:t xml:space="preserve"> in </w:t>
            </w:r>
            <w:proofErr w:type="spellStart"/>
            <w:r w:rsidRPr="000E2699">
              <w:rPr>
                <w:rFonts w:ascii="Arial" w:hAnsi="Arial" w:cs="Arial"/>
              </w:rPr>
              <w:t>Education</w:t>
            </w:r>
            <w:proofErr w:type="spellEnd"/>
            <w:r w:rsidRPr="000E2699">
              <w:rPr>
                <w:rFonts w:ascii="Arial" w:hAnsi="Arial" w:cs="Arial"/>
              </w:rPr>
              <w:t xml:space="preserve">) </w:t>
            </w:r>
            <w:r w:rsidRPr="000E2699">
              <w:rPr>
                <w:rFonts w:ascii="Arial" w:hAnsi="Arial" w:cs="Arial"/>
                <w:lang w:val="hu-HU"/>
              </w:rPr>
              <w:t xml:space="preserve">In: Önkormányzat és közoktatás </w:t>
            </w:r>
            <w:r w:rsidRPr="000E2699">
              <w:rPr>
                <w:rFonts w:ascii="Arial" w:hAnsi="Arial" w:cs="Arial"/>
              </w:rPr>
              <w:t>’</w:t>
            </w:r>
            <w:r w:rsidRPr="000E2699">
              <w:rPr>
                <w:rFonts w:ascii="Arial" w:hAnsi="Arial" w:cs="Arial"/>
                <w:lang w:val="hu-HU"/>
              </w:rPr>
              <w:t>99. (Szerk: Palotás  Zoltán) Szekszárd, 1999. Tolna Megyei Önkormányzat Pedagógiai Intézete</w:t>
            </w:r>
          </w:p>
          <w:p w:rsidR="00106C03" w:rsidRPr="000E2699" w:rsidRDefault="00106C03" w:rsidP="00BE3FF8">
            <w:pPr>
              <w:numPr>
                <w:ilvl w:val="0"/>
                <w:numId w:val="2"/>
              </w:numPr>
              <w:tabs>
                <w:tab w:val="left" w:pos="8931"/>
              </w:tabs>
              <w:jc w:val="both"/>
              <w:rPr>
                <w:rFonts w:ascii="Arial" w:hAnsi="Arial" w:cs="Arial"/>
                <w:lang w:val="hu-HU"/>
              </w:rPr>
            </w:pPr>
            <w:r w:rsidRPr="000E2699">
              <w:rPr>
                <w:rFonts w:ascii="Arial" w:hAnsi="Arial" w:cs="Arial"/>
                <w:lang w:val="hu-HU"/>
              </w:rPr>
              <w:t>(with Krisztina Kardos) Nemzeti kisebbségek, romák és bevándorlók oktatása az Európai Unióban és Magyarországon (Education of National Minorities, Roma and Immigrants in the European Union and Hungary) In: Európai Tükör, 1999. 1.sz.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lang w:val="hu-HU"/>
              </w:rPr>
              <w:t xml:space="preserve">Romák és esélyek. </w:t>
            </w:r>
            <w:r w:rsidRPr="000E2699">
              <w:rPr>
                <w:rFonts w:ascii="Arial" w:hAnsi="Arial" w:cs="Arial"/>
              </w:rPr>
              <w:t>(Roma and Chances) In: Fundamentum, 1998/1-2. 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Röpirat a cigányságról. (Pamphlet on Roma) In: Beszélő, 1998. Február.</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Jelentés a magyarországi cigány tanulók oktatásáról. (Report on the Education of Roma Students in Hungary) Budapest, 1997. Nemzeti és Etnikai Kisebbségi Hivatal.</w:t>
            </w:r>
          </w:p>
          <w:p w:rsidR="00106C03" w:rsidRPr="000E2699" w:rsidRDefault="00106C03" w:rsidP="00BE3FF8">
            <w:pPr>
              <w:numPr>
                <w:ilvl w:val="0"/>
                <w:numId w:val="2"/>
              </w:numPr>
              <w:tabs>
                <w:tab w:val="left" w:pos="8931"/>
              </w:tabs>
              <w:jc w:val="both"/>
              <w:rPr>
                <w:rFonts w:ascii="Arial" w:hAnsi="Arial" w:cs="Arial"/>
                <w:lang w:val="hu-HU"/>
              </w:rPr>
            </w:pPr>
            <w:r w:rsidRPr="000E2699">
              <w:rPr>
                <w:rFonts w:ascii="Arial" w:hAnsi="Arial" w:cs="Arial"/>
                <w:lang w:val="hu-HU"/>
              </w:rPr>
              <w:lastRenderedPageBreak/>
              <w:t xml:space="preserve">Romák és a felsőoktatás. (Roma and the Higher Education) In: Mit tehet a magyar felsőoktatás a roma fiatalok hatékonyabb oktatásáért? Tudományos Közlemények IV. 1997. </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(with Eszter Harásnyi) Cigány tanulók a magyar iskolában. (Roma Students in the Hungarian School) In: Educatio, 1997/tavasz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A nemzeti és etnikai kisebbségek oktatása. (The Education of National and Ethnic Minorities) In: Tanulmányok a magyar közoktatásról. In: Budapest, 1997. Országos Közoktatási Intézet.</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A cigányság oktatásának fejlesztése. (The Development of the Education of Roma) In: Iskolakultúra. V. évfolyam, 24. szám.</w:t>
            </w:r>
          </w:p>
          <w:p w:rsidR="00106C03" w:rsidRPr="000E2699" w:rsidRDefault="00106C03" w:rsidP="00BE3FF8">
            <w:pPr>
              <w:numPr>
                <w:ilvl w:val="0"/>
                <w:numId w:val="2"/>
              </w:numPr>
              <w:tabs>
                <w:tab w:val="left" w:pos="8931"/>
              </w:tabs>
              <w:jc w:val="both"/>
              <w:rPr>
                <w:rFonts w:ascii="Arial" w:hAnsi="Arial" w:cs="Arial"/>
                <w:lang w:val="de-DE"/>
              </w:rPr>
            </w:pPr>
            <w:r w:rsidRPr="000E2699">
              <w:rPr>
                <w:rFonts w:ascii="Arial" w:hAnsi="Arial" w:cs="Arial"/>
              </w:rPr>
              <w:t xml:space="preserve">A kisebbségi oktatás fejlesztése. (The Development of the Education of Minorities) Az MKM stratégiai munkabizottsága számára készített háttértanulmány. </w:t>
            </w:r>
            <w:r w:rsidRPr="000E2699">
              <w:rPr>
                <w:rFonts w:ascii="Arial" w:hAnsi="Arial" w:cs="Arial"/>
                <w:lang w:val="de-DE"/>
              </w:rPr>
              <w:t>Bp. 1995. Az Új Katedra novemberi melléklete.</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lang w:val="de-DE"/>
              </w:rPr>
              <w:t xml:space="preserve">Asszimiláció és nyelvváltás a magyarországi szlovének körében. </w:t>
            </w:r>
            <w:r w:rsidRPr="000E2699">
              <w:rPr>
                <w:rFonts w:ascii="Arial" w:hAnsi="Arial" w:cs="Arial"/>
              </w:rPr>
              <w:t>(Assimilation and Language Shift among Slovenes in Hungary) In: Regio, 1996/1.sz.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Reprezentácia Slovákov v Madarsku v miesanych slovensko-madarskych osadách. (Representation of Slovaks in Hungary in Mixed Slovak-Hungarian Settlements) In: 275 Rokov v Békésskej Cabe. Békéscsaba, 1995.</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Kisebbségi nyelvhasználati jogok és gyakorlat Magyarországon. (Minority Language Rights and Practice in Hungary) In: Kisebbségek és önkormányzat. Minoritás könyvek 1. Bp. 1994. Minoritás Alapítvány.</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Magyar nemzetiségi önkormányzat a szlovéniai muravidéken. (The Self-government of Hungarians in Muravidék, Slovenia) In: Regio 1993/3.sz.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(with Ildikó Szabó) Fájdalommentes asszimiláció? Beszélgetés a kétnyelvűségről a szlovéniai Völgyifaluban. (Painless Assimilation? Conversations about Bilinguailism in Völgyifalu, Slovenia) In: Pedagógiai Szemle 1993/11.sz.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A Bács-Kiskun megyei nemzeti közösségek vitalitása. (The Vitality of National Minority Communities in Bács-Kiskun County) In: Dunatáji találkozás. A kecskeméti Katona József Múzeum közleményei 5. Kecskemét, 1992.</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A nemzeti kisebbségek nyilvános nyelvhasználata Magyarországon. (Public Language Usage among National Minorities in Hungary) In: Regio 1992/2.sz.</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Asszimiláció és nyelvhasználat. Nemzeti kisebbségek Magyarországon. (Assimilation and Language Usage. National Minorities in Hungary) Budapest, 1992. Citoyen Kiadó.</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Nyelvhasználat és nyelvi szocializáció a magyarországi horvátok között. (Language Usage and Lingual Socialization among the Croatians in Hungary) In: Dodola. Tanulmányok a magyarországi horvátokról. Pécs, 1990.</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(with Gábor G. Tarján) Alsószentmárton. Előtanulmány egy cigány község vizsgálatához. (Alsószentmárton. A study about a Roma Village in Hungary) Pécs, 1990.</w:t>
            </w:r>
          </w:p>
          <w:p w:rsidR="00106C03" w:rsidRPr="000E2699" w:rsidRDefault="00106C03" w:rsidP="00BE3FF8">
            <w:pPr>
              <w:numPr>
                <w:ilvl w:val="0"/>
                <w:numId w:val="2"/>
              </w:numPr>
              <w:tabs>
                <w:tab w:val="left" w:pos="8931"/>
              </w:tabs>
              <w:jc w:val="both"/>
              <w:rPr>
                <w:rFonts w:ascii="Arial" w:hAnsi="Arial" w:cs="Arial"/>
              </w:rPr>
            </w:pPr>
            <w:r w:rsidRPr="000E2699">
              <w:rPr>
                <w:rFonts w:ascii="Arial" w:hAnsi="Arial" w:cs="Arial"/>
              </w:rPr>
              <w:t>(with Éva Molnár and Gábor G. Tarján) Nagybörzsöny. Egy község múltja és jelene. (Nagybörzsöny. A German Village in Hungary) In: Együttélés. Tanulmányok a Pest megyei nemzetiségek köréből. Budapest, 1990.</w:t>
            </w:r>
          </w:p>
          <w:p w:rsidR="00106C03" w:rsidRPr="000E2699" w:rsidRDefault="00106C03" w:rsidP="003F2D39">
            <w:pPr>
              <w:numPr>
                <w:ilvl w:val="0"/>
                <w:numId w:val="2"/>
              </w:numPr>
              <w:tabs>
                <w:tab w:val="left" w:pos="8931"/>
              </w:tabs>
              <w:jc w:val="both"/>
              <w:rPr>
                <w:rFonts w:ascii="Arial" w:hAnsi="Arial" w:cs="Arial"/>
                <w:lang w:val="en-US"/>
              </w:rPr>
            </w:pPr>
            <w:r w:rsidRPr="000E2699">
              <w:rPr>
                <w:rFonts w:ascii="Arial" w:hAnsi="Arial" w:cs="Arial"/>
              </w:rPr>
              <w:t>Nemzettudat és közigazgatás összefüggése Grünwald Béla publicisztikájában. (National Consciousness and Public Administration in the Works of Béla Grünwald) In: Jogtudományi Közlöny 1982/9.sz.</w:t>
            </w:r>
          </w:p>
        </w:tc>
      </w:tr>
      <w:tr w:rsidR="00732648" w:rsidRPr="000E2699">
        <w:tc>
          <w:tcPr>
            <w:tcW w:w="2977" w:type="dxa"/>
          </w:tcPr>
          <w:p w:rsidR="00732648" w:rsidRPr="000E2699" w:rsidRDefault="00732648">
            <w:pPr>
              <w:pStyle w:val="Heading3"/>
              <w:jc w:val="right"/>
              <w:rPr>
                <w:rFonts w:ascii="Arial" w:hAnsi="Arial" w:cs="Arial"/>
                <w:lang w:val="en-US"/>
              </w:rPr>
            </w:pPr>
          </w:p>
        </w:tc>
        <w:tc>
          <w:tcPr>
            <w:tcW w:w="284" w:type="dxa"/>
          </w:tcPr>
          <w:p w:rsidR="00732648" w:rsidRPr="000E2699" w:rsidRDefault="00732648">
            <w:pPr>
              <w:rPr>
                <w:rFonts w:ascii="Arial" w:hAnsi="Arial" w:cs="Arial"/>
                <w:lang w:val="en-US"/>
              </w:rPr>
            </w:pPr>
          </w:p>
        </w:tc>
        <w:tc>
          <w:tcPr>
            <w:tcW w:w="7512" w:type="dxa"/>
          </w:tcPr>
          <w:p w:rsidR="00732648" w:rsidRPr="000E2699" w:rsidRDefault="00732648">
            <w:pPr>
              <w:spacing w:before="20"/>
              <w:rPr>
                <w:rFonts w:ascii="Arial" w:hAnsi="Arial" w:cs="Arial"/>
                <w:b/>
                <w:lang w:val="en-US"/>
              </w:rPr>
            </w:pPr>
          </w:p>
        </w:tc>
      </w:tr>
    </w:tbl>
    <w:p w:rsidR="00106C03" w:rsidRPr="000E2699" w:rsidRDefault="00106C03">
      <w:pPr>
        <w:rPr>
          <w:rFonts w:ascii="Arial" w:hAnsi="Arial" w:cs="Arial"/>
          <w:lang w:val="en-US"/>
        </w:rPr>
      </w:pPr>
    </w:p>
    <w:sectPr w:rsidR="00106C03" w:rsidRPr="000E2699" w:rsidSect="00B03F75">
      <w:footerReference w:type="even" r:id="rId11"/>
      <w:footerReference w:type="default" r:id="rId12"/>
      <w:pgSz w:w="11906" w:h="16838" w:code="9"/>
      <w:pgMar w:top="851" w:right="567" w:bottom="851"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79" w:rsidRDefault="00E04679">
      <w:r>
        <w:separator/>
      </w:r>
    </w:p>
  </w:endnote>
  <w:endnote w:type="continuationSeparator" w:id="0">
    <w:p w:rsidR="00E04679" w:rsidRDefault="00E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C03" w:rsidRDefault="00CB54D0">
    <w:pPr>
      <w:pStyle w:val="Footer"/>
      <w:framePr w:wrap="around" w:vAnchor="text" w:hAnchor="margin" w:y="1"/>
      <w:rPr>
        <w:rStyle w:val="PageNumber"/>
      </w:rPr>
    </w:pPr>
    <w:r>
      <w:rPr>
        <w:rStyle w:val="PageNumber"/>
      </w:rPr>
      <w:fldChar w:fldCharType="begin"/>
    </w:r>
    <w:r w:rsidR="00106C03">
      <w:rPr>
        <w:rStyle w:val="PageNumber"/>
      </w:rPr>
      <w:instrText xml:space="preserve">PAGE  </w:instrText>
    </w:r>
    <w:r>
      <w:rPr>
        <w:rStyle w:val="PageNumber"/>
      </w:rPr>
      <w:fldChar w:fldCharType="end"/>
    </w:r>
  </w:p>
  <w:p w:rsidR="00106C03" w:rsidRDefault="00106C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2977"/>
      <w:gridCol w:w="284"/>
      <w:gridCol w:w="7512"/>
    </w:tblGrid>
    <w:tr w:rsidR="00106C03">
      <w:tc>
        <w:tcPr>
          <w:tcW w:w="2977" w:type="dxa"/>
        </w:tcPr>
        <w:p w:rsidR="00106C03" w:rsidRDefault="00106C03">
          <w:pPr>
            <w:spacing w:before="120"/>
            <w:ind w:firstLine="360"/>
            <w:jc w:val="right"/>
            <w:rPr>
              <w:sz w:val="16"/>
              <w:lang w:val="en-GB"/>
            </w:rPr>
          </w:pPr>
          <w:r>
            <w:rPr>
              <w:sz w:val="16"/>
              <w:lang w:val="en-GB"/>
            </w:rPr>
            <w:t xml:space="preserve">Page </w:t>
          </w:r>
          <w:r w:rsidR="00CB54D0">
            <w:rPr>
              <w:sz w:val="16"/>
              <w:lang w:val="en-GB"/>
            </w:rPr>
            <w:fldChar w:fldCharType="begin"/>
          </w:r>
          <w:r>
            <w:rPr>
              <w:sz w:val="16"/>
              <w:lang w:val="en-GB"/>
            </w:rPr>
            <w:instrText xml:space="preserve">PAGE  </w:instrText>
          </w:r>
          <w:r w:rsidR="00CB54D0">
            <w:rPr>
              <w:sz w:val="16"/>
              <w:lang w:val="en-GB"/>
            </w:rPr>
            <w:fldChar w:fldCharType="separate"/>
          </w:r>
          <w:r w:rsidR="00343890">
            <w:rPr>
              <w:noProof/>
              <w:sz w:val="16"/>
              <w:lang w:val="en-GB"/>
            </w:rPr>
            <w:t>1</w:t>
          </w:r>
          <w:r w:rsidR="00CB54D0">
            <w:rPr>
              <w:sz w:val="16"/>
              <w:lang w:val="en-GB"/>
            </w:rPr>
            <w:fldChar w:fldCharType="end"/>
          </w:r>
          <w:r>
            <w:rPr>
              <w:sz w:val="16"/>
              <w:lang w:val="en-GB"/>
            </w:rPr>
            <w:t xml:space="preserve"> - Curriculum vitae of</w:t>
          </w:r>
        </w:p>
        <w:p w:rsidR="00106C03" w:rsidRDefault="00106C03">
          <w:pPr>
            <w:spacing w:before="120"/>
            <w:ind w:firstLine="360"/>
            <w:jc w:val="right"/>
            <w:rPr>
              <w:sz w:val="16"/>
              <w:lang w:val="en-GB"/>
            </w:rPr>
          </w:pPr>
          <w:r>
            <w:rPr>
              <w:sz w:val="16"/>
              <w:lang w:val="en-GB"/>
            </w:rPr>
            <w:t>Surname(s) First name(s)</w:t>
          </w:r>
        </w:p>
      </w:tc>
      <w:tc>
        <w:tcPr>
          <w:tcW w:w="284" w:type="dxa"/>
        </w:tcPr>
        <w:p w:rsidR="00106C03" w:rsidRDefault="00106C03">
          <w:pPr>
            <w:spacing w:before="120"/>
            <w:rPr>
              <w:sz w:val="16"/>
              <w:lang w:val="en-GB"/>
            </w:rPr>
          </w:pPr>
        </w:p>
      </w:tc>
      <w:tc>
        <w:tcPr>
          <w:tcW w:w="7512" w:type="dxa"/>
        </w:tcPr>
        <w:p w:rsidR="00106C03" w:rsidRDefault="00106C03">
          <w:pPr>
            <w:spacing w:before="120"/>
            <w:rPr>
              <w:sz w:val="16"/>
              <w:lang w:val="en-GB"/>
            </w:rPr>
          </w:pPr>
          <w:r>
            <w:rPr>
              <w:sz w:val="16"/>
              <w:lang w:val="en-GB"/>
            </w:rPr>
            <w:t>For more information go to http://europass.cedefop.eu.int</w:t>
          </w:r>
        </w:p>
        <w:p w:rsidR="00106C03" w:rsidRDefault="00106C03">
          <w:pPr>
            <w:spacing w:before="120"/>
            <w:rPr>
              <w:sz w:val="16"/>
              <w:lang w:val="en-GB"/>
            </w:rPr>
          </w:pPr>
          <w:r>
            <w:rPr>
              <w:sz w:val="16"/>
              <w:lang w:val="de-DE"/>
            </w:rPr>
            <w:t>© European Communities, 2003</w:t>
          </w:r>
        </w:p>
      </w:tc>
    </w:tr>
  </w:tbl>
  <w:p w:rsidR="00106C03" w:rsidRDefault="00106C0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79" w:rsidRDefault="00E04679">
      <w:r>
        <w:separator/>
      </w:r>
    </w:p>
  </w:footnote>
  <w:footnote w:type="continuationSeparator" w:id="0">
    <w:p w:rsidR="00E04679" w:rsidRDefault="00E0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C17405"/>
    <w:multiLevelType w:val="hybridMultilevel"/>
    <w:tmpl w:val="5DEEF7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64E8D"/>
    <w:multiLevelType w:val="hybridMultilevel"/>
    <w:tmpl w:val="575CBAA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5EC439A"/>
    <w:multiLevelType w:val="hybridMultilevel"/>
    <w:tmpl w:val="72C466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9635A"/>
    <w:multiLevelType w:val="hybridMultilevel"/>
    <w:tmpl w:val="6F9AE1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AFF7721"/>
    <w:multiLevelType w:val="hybridMultilevel"/>
    <w:tmpl w:val="1CF0A274"/>
    <w:lvl w:ilvl="0" w:tplc="040E0001">
      <w:start w:val="1"/>
      <w:numFmt w:val="bullet"/>
      <w:lvlText w:val=""/>
      <w:lvlJc w:val="left"/>
      <w:pPr>
        <w:ind w:left="743" w:hanging="360"/>
      </w:pPr>
      <w:rPr>
        <w:rFonts w:ascii="Symbol" w:hAnsi="Symbol" w:hint="default"/>
      </w:rPr>
    </w:lvl>
    <w:lvl w:ilvl="1" w:tplc="040E0003" w:tentative="1">
      <w:start w:val="1"/>
      <w:numFmt w:val="bullet"/>
      <w:lvlText w:val="o"/>
      <w:lvlJc w:val="left"/>
      <w:pPr>
        <w:ind w:left="1463" w:hanging="360"/>
      </w:pPr>
      <w:rPr>
        <w:rFonts w:ascii="Courier New" w:hAnsi="Courier New" w:cs="Courier New" w:hint="default"/>
      </w:rPr>
    </w:lvl>
    <w:lvl w:ilvl="2" w:tplc="040E0005" w:tentative="1">
      <w:start w:val="1"/>
      <w:numFmt w:val="bullet"/>
      <w:lvlText w:val=""/>
      <w:lvlJc w:val="left"/>
      <w:pPr>
        <w:ind w:left="2183" w:hanging="360"/>
      </w:pPr>
      <w:rPr>
        <w:rFonts w:ascii="Wingdings" w:hAnsi="Wingdings" w:hint="default"/>
      </w:rPr>
    </w:lvl>
    <w:lvl w:ilvl="3" w:tplc="040E0001" w:tentative="1">
      <w:start w:val="1"/>
      <w:numFmt w:val="bullet"/>
      <w:lvlText w:val=""/>
      <w:lvlJc w:val="left"/>
      <w:pPr>
        <w:ind w:left="2903" w:hanging="360"/>
      </w:pPr>
      <w:rPr>
        <w:rFonts w:ascii="Symbol" w:hAnsi="Symbol" w:hint="default"/>
      </w:rPr>
    </w:lvl>
    <w:lvl w:ilvl="4" w:tplc="040E0003" w:tentative="1">
      <w:start w:val="1"/>
      <w:numFmt w:val="bullet"/>
      <w:lvlText w:val="o"/>
      <w:lvlJc w:val="left"/>
      <w:pPr>
        <w:ind w:left="3623" w:hanging="360"/>
      </w:pPr>
      <w:rPr>
        <w:rFonts w:ascii="Courier New" w:hAnsi="Courier New" w:cs="Courier New" w:hint="default"/>
      </w:rPr>
    </w:lvl>
    <w:lvl w:ilvl="5" w:tplc="040E0005" w:tentative="1">
      <w:start w:val="1"/>
      <w:numFmt w:val="bullet"/>
      <w:lvlText w:val=""/>
      <w:lvlJc w:val="left"/>
      <w:pPr>
        <w:ind w:left="4343" w:hanging="360"/>
      </w:pPr>
      <w:rPr>
        <w:rFonts w:ascii="Wingdings" w:hAnsi="Wingdings" w:hint="default"/>
      </w:rPr>
    </w:lvl>
    <w:lvl w:ilvl="6" w:tplc="040E0001" w:tentative="1">
      <w:start w:val="1"/>
      <w:numFmt w:val="bullet"/>
      <w:lvlText w:val=""/>
      <w:lvlJc w:val="left"/>
      <w:pPr>
        <w:ind w:left="5063" w:hanging="360"/>
      </w:pPr>
      <w:rPr>
        <w:rFonts w:ascii="Symbol" w:hAnsi="Symbol" w:hint="default"/>
      </w:rPr>
    </w:lvl>
    <w:lvl w:ilvl="7" w:tplc="040E0003" w:tentative="1">
      <w:start w:val="1"/>
      <w:numFmt w:val="bullet"/>
      <w:lvlText w:val="o"/>
      <w:lvlJc w:val="left"/>
      <w:pPr>
        <w:ind w:left="5783" w:hanging="360"/>
      </w:pPr>
      <w:rPr>
        <w:rFonts w:ascii="Courier New" w:hAnsi="Courier New" w:cs="Courier New" w:hint="default"/>
      </w:rPr>
    </w:lvl>
    <w:lvl w:ilvl="8" w:tplc="040E0005" w:tentative="1">
      <w:start w:val="1"/>
      <w:numFmt w:val="bullet"/>
      <w:lvlText w:val=""/>
      <w:lvlJc w:val="left"/>
      <w:pPr>
        <w:ind w:left="6503"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44"/>
    <w:rsid w:val="0001610E"/>
    <w:rsid w:val="00030860"/>
    <w:rsid w:val="00070FC9"/>
    <w:rsid w:val="000E2699"/>
    <w:rsid w:val="000F4510"/>
    <w:rsid w:val="00106C03"/>
    <w:rsid w:val="00131EAD"/>
    <w:rsid w:val="00135363"/>
    <w:rsid w:val="0015598E"/>
    <w:rsid w:val="00191F44"/>
    <w:rsid w:val="002715D1"/>
    <w:rsid w:val="00291F31"/>
    <w:rsid w:val="002D5E5E"/>
    <w:rsid w:val="002D7EA2"/>
    <w:rsid w:val="002E7DD7"/>
    <w:rsid w:val="00301659"/>
    <w:rsid w:val="00322E41"/>
    <w:rsid w:val="00343890"/>
    <w:rsid w:val="003C7117"/>
    <w:rsid w:val="003F2D39"/>
    <w:rsid w:val="0041600C"/>
    <w:rsid w:val="0043653F"/>
    <w:rsid w:val="0052358D"/>
    <w:rsid w:val="00556F61"/>
    <w:rsid w:val="00573C1B"/>
    <w:rsid w:val="005B3084"/>
    <w:rsid w:val="005D17FB"/>
    <w:rsid w:val="005F372A"/>
    <w:rsid w:val="00621811"/>
    <w:rsid w:val="006404F5"/>
    <w:rsid w:val="006503B2"/>
    <w:rsid w:val="0065559A"/>
    <w:rsid w:val="00674616"/>
    <w:rsid w:val="006A4B5F"/>
    <w:rsid w:val="006C540B"/>
    <w:rsid w:val="006D6C8A"/>
    <w:rsid w:val="00732648"/>
    <w:rsid w:val="00781577"/>
    <w:rsid w:val="00796D65"/>
    <w:rsid w:val="00797506"/>
    <w:rsid w:val="007C6724"/>
    <w:rsid w:val="007F1EB9"/>
    <w:rsid w:val="00802907"/>
    <w:rsid w:val="008174EB"/>
    <w:rsid w:val="00836004"/>
    <w:rsid w:val="00853183"/>
    <w:rsid w:val="008933D9"/>
    <w:rsid w:val="008B66E9"/>
    <w:rsid w:val="008C1480"/>
    <w:rsid w:val="008F5AE9"/>
    <w:rsid w:val="009A44B3"/>
    <w:rsid w:val="009F52FC"/>
    <w:rsid w:val="00A9086D"/>
    <w:rsid w:val="00AA44F5"/>
    <w:rsid w:val="00AB638C"/>
    <w:rsid w:val="00B03F75"/>
    <w:rsid w:val="00B148F8"/>
    <w:rsid w:val="00B53744"/>
    <w:rsid w:val="00B61EA9"/>
    <w:rsid w:val="00B72596"/>
    <w:rsid w:val="00BD5C35"/>
    <w:rsid w:val="00BE3FF8"/>
    <w:rsid w:val="00BE6D57"/>
    <w:rsid w:val="00C81D95"/>
    <w:rsid w:val="00CB54D0"/>
    <w:rsid w:val="00D007D8"/>
    <w:rsid w:val="00D86CA7"/>
    <w:rsid w:val="00D91DE3"/>
    <w:rsid w:val="00D97EBF"/>
    <w:rsid w:val="00E04679"/>
    <w:rsid w:val="00E83393"/>
    <w:rsid w:val="00F17504"/>
    <w:rsid w:val="00F20133"/>
    <w:rsid w:val="00F32B33"/>
    <w:rsid w:val="00F826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338E557"/>
  <w15:docId w15:val="{F7E348DE-8506-41B5-833F-B67113C3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F75"/>
    <w:rPr>
      <w:rFonts w:ascii="Arial Narrow" w:hAnsi="Arial Narrow"/>
      <w:lang w:val="es-NI" w:eastAsia="en-US"/>
    </w:rPr>
  </w:style>
  <w:style w:type="paragraph" w:styleId="Heading1">
    <w:name w:val="heading 1"/>
    <w:basedOn w:val="Normal"/>
    <w:next w:val="Normal"/>
    <w:link w:val="Heading1Char"/>
    <w:uiPriority w:val="99"/>
    <w:qFormat/>
    <w:rsid w:val="00B03F75"/>
    <w:pPr>
      <w:keepNext/>
      <w:jc w:val="right"/>
      <w:outlineLvl w:val="0"/>
    </w:pPr>
    <w:rPr>
      <w:lang w:val="en-GB"/>
    </w:rPr>
  </w:style>
  <w:style w:type="paragraph" w:styleId="Heading2">
    <w:name w:val="heading 2"/>
    <w:basedOn w:val="Normal"/>
    <w:next w:val="Normal"/>
    <w:link w:val="Heading2Char"/>
    <w:uiPriority w:val="99"/>
    <w:qFormat/>
    <w:rsid w:val="00B03F75"/>
    <w:pPr>
      <w:keepNext/>
      <w:spacing w:before="40" w:after="40"/>
      <w:outlineLvl w:val="1"/>
    </w:pPr>
    <w:rPr>
      <w:sz w:val="24"/>
      <w:lang w:val="en-GB"/>
    </w:rPr>
  </w:style>
  <w:style w:type="paragraph" w:styleId="Heading3">
    <w:name w:val="heading 3"/>
    <w:basedOn w:val="Normal"/>
    <w:next w:val="Normal"/>
    <w:link w:val="Heading3Char"/>
    <w:uiPriority w:val="99"/>
    <w:qFormat/>
    <w:rsid w:val="00B03F75"/>
    <w:pPr>
      <w:keepNext/>
      <w:outlineLvl w:val="2"/>
    </w:pPr>
    <w:rPr>
      <w:b/>
      <w:bCs/>
      <w:sz w:val="24"/>
    </w:rPr>
  </w:style>
  <w:style w:type="paragraph" w:styleId="Heading4">
    <w:name w:val="heading 4"/>
    <w:basedOn w:val="Normal"/>
    <w:next w:val="Normal"/>
    <w:link w:val="Heading4Char"/>
    <w:uiPriority w:val="99"/>
    <w:qFormat/>
    <w:rsid w:val="00B03F75"/>
    <w:pPr>
      <w:keepNext/>
      <w:spacing w:before="40" w:after="40"/>
      <w:ind w:left="-104" w:right="-108"/>
      <w:jc w:val="center"/>
      <w:outlineLvl w:val="3"/>
    </w:pPr>
    <w:rPr>
      <w:b/>
      <w:lang w:val="en-GB"/>
    </w:rPr>
  </w:style>
  <w:style w:type="paragraph" w:styleId="Heading5">
    <w:name w:val="heading 5"/>
    <w:basedOn w:val="Normal"/>
    <w:next w:val="Normal"/>
    <w:link w:val="Heading5Char"/>
    <w:uiPriority w:val="99"/>
    <w:qFormat/>
    <w:rsid w:val="00B03F75"/>
    <w:pPr>
      <w:keepNext/>
      <w:spacing w:before="40" w:after="40"/>
      <w:jc w:val="right"/>
      <w:outlineLvl w:val="4"/>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7D"/>
    <w:rPr>
      <w:rFonts w:ascii="Cambria" w:eastAsia="Times New Roman" w:hAnsi="Cambria" w:cs="Times New Roman"/>
      <w:b/>
      <w:bCs/>
      <w:kern w:val="32"/>
      <w:sz w:val="32"/>
      <w:szCs w:val="32"/>
      <w:lang w:val="es-NI" w:eastAsia="en-US"/>
    </w:rPr>
  </w:style>
  <w:style w:type="character" w:customStyle="1" w:styleId="Heading2Char">
    <w:name w:val="Heading 2 Char"/>
    <w:basedOn w:val="DefaultParagraphFont"/>
    <w:link w:val="Heading2"/>
    <w:uiPriority w:val="9"/>
    <w:semiHidden/>
    <w:rsid w:val="00BE6E7D"/>
    <w:rPr>
      <w:rFonts w:ascii="Cambria" w:eastAsia="Times New Roman" w:hAnsi="Cambria" w:cs="Times New Roman"/>
      <w:b/>
      <w:bCs/>
      <w:i/>
      <w:iCs/>
      <w:sz w:val="28"/>
      <w:szCs w:val="28"/>
      <w:lang w:val="es-NI" w:eastAsia="en-US"/>
    </w:rPr>
  </w:style>
  <w:style w:type="character" w:customStyle="1" w:styleId="Heading3Char">
    <w:name w:val="Heading 3 Char"/>
    <w:basedOn w:val="DefaultParagraphFont"/>
    <w:link w:val="Heading3"/>
    <w:uiPriority w:val="9"/>
    <w:semiHidden/>
    <w:rsid w:val="00BE6E7D"/>
    <w:rPr>
      <w:rFonts w:ascii="Cambria" w:eastAsia="Times New Roman" w:hAnsi="Cambria" w:cs="Times New Roman"/>
      <w:b/>
      <w:bCs/>
      <w:sz w:val="26"/>
      <w:szCs w:val="26"/>
      <w:lang w:val="es-NI" w:eastAsia="en-US"/>
    </w:rPr>
  </w:style>
  <w:style w:type="character" w:customStyle="1" w:styleId="Heading4Char">
    <w:name w:val="Heading 4 Char"/>
    <w:basedOn w:val="DefaultParagraphFont"/>
    <w:link w:val="Heading4"/>
    <w:uiPriority w:val="9"/>
    <w:semiHidden/>
    <w:rsid w:val="00BE6E7D"/>
    <w:rPr>
      <w:rFonts w:ascii="Calibri" w:eastAsia="Times New Roman" w:hAnsi="Calibri" w:cs="Times New Roman"/>
      <w:b/>
      <w:bCs/>
      <w:sz w:val="28"/>
      <w:szCs w:val="28"/>
      <w:lang w:val="es-NI" w:eastAsia="en-US"/>
    </w:rPr>
  </w:style>
  <w:style w:type="character" w:customStyle="1" w:styleId="Heading5Char">
    <w:name w:val="Heading 5 Char"/>
    <w:basedOn w:val="DefaultParagraphFont"/>
    <w:link w:val="Heading5"/>
    <w:uiPriority w:val="9"/>
    <w:semiHidden/>
    <w:rsid w:val="00BE6E7D"/>
    <w:rPr>
      <w:rFonts w:ascii="Calibri" w:eastAsia="Times New Roman" w:hAnsi="Calibri" w:cs="Times New Roman"/>
      <w:b/>
      <w:bCs/>
      <w:i/>
      <w:iCs/>
      <w:sz w:val="26"/>
      <w:szCs w:val="26"/>
      <w:lang w:val="es-NI" w:eastAsia="en-US"/>
    </w:rPr>
  </w:style>
  <w:style w:type="paragraph" w:styleId="Header">
    <w:name w:val="header"/>
    <w:basedOn w:val="Normal"/>
    <w:link w:val="HeaderChar"/>
    <w:uiPriority w:val="99"/>
    <w:rsid w:val="00B03F75"/>
    <w:pPr>
      <w:tabs>
        <w:tab w:val="center" w:pos="4153"/>
        <w:tab w:val="right" w:pos="8306"/>
      </w:tabs>
    </w:pPr>
  </w:style>
  <w:style w:type="character" w:customStyle="1" w:styleId="HeaderChar">
    <w:name w:val="Header Char"/>
    <w:basedOn w:val="DefaultParagraphFont"/>
    <w:link w:val="Header"/>
    <w:uiPriority w:val="99"/>
    <w:semiHidden/>
    <w:rsid w:val="00BE6E7D"/>
    <w:rPr>
      <w:rFonts w:ascii="Arial Narrow" w:hAnsi="Arial Narrow"/>
      <w:sz w:val="20"/>
      <w:szCs w:val="20"/>
      <w:lang w:val="es-NI" w:eastAsia="en-US"/>
    </w:rPr>
  </w:style>
  <w:style w:type="paragraph" w:styleId="Footer">
    <w:name w:val="footer"/>
    <w:basedOn w:val="Normal"/>
    <w:link w:val="FooterChar"/>
    <w:uiPriority w:val="99"/>
    <w:rsid w:val="00B03F75"/>
    <w:pPr>
      <w:tabs>
        <w:tab w:val="center" w:pos="4153"/>
        <w:tab w:val="right" w:pos="8306"/>
      </w:tabs>
    </w:pPr>
  </w:style>
  <w:style w:type="character" w:customStyle="1" w:styleId="FooterChar">
    <w:name w:val="Footer Char"/>
    <w:basedOn w:val="DefaultParagraphFont"/>
    <w:link w:val="Footer"/>
    <w:uiPriority w:val="99"/>
    <w:semiHidden/>
    <w:rsid w:val="00BE6E7D"/>
    <w:rPr>
      <w:rFonts w:ascii="Arial Narrow" w:hAnsi="Arial Narrow"/>
      <w:sz w:val="20"/>
      <w:szCs w:val="20"/>
      <w:lang w:val="es-NI" w:eastAsia="en-US"/>
    </w:rPr>
  </w:style>
  <w:style w:type="paragraph" w:customStyle="1" w:styleId="normaltableau">
    <w:name w:val="normal_tableau"/>
    <w:basedOn w:val="Normal"/>
    <w:uiPriority w:val="99"/>
    <w:rsid w:val="002D5E5E"/>
    <w:pPr>
      <w:spacing w:before="120" w:after="120"/>
      <w:jc w:val="both"/>
    </w:pPr>
    <w:rPr>
      <w:rFonts w:ascii="Optima" w:hAnsi="Optima"/>
      <w:sz w:val="22"/>
      <w:lang w:val="en-GB" w:eastAsia="en-GB"/>
    </w:rPr>
  </w:style>
  <w:style w:type="character" w:styleId="Hyperlink">
    <w:name w:val="Hyperlink"/>
    <w:basedOn w:val="DefaultParagraphFont"/>
    <w:uiPriority w:val="99"/>
    <w:rsid w:val="00B03F75"/>
    <w:rPr>
      <w:rFonts w:cs="Times New Roman"/>
      <w:color w:val="0000FF"/>
      <w:u w:val="single"/>
    </w:rPr>
  </w:style>
  <w:style w:type="character" w:styleId="PageNumber">
    <w:name w:val="page number"/>
    <w:basedOn w:val="DefaultParagraphFont"/>
    <w:uiPriority w:val="99"/>
    <w:rsid w:val="00B03F75"/>
    <w:rPr>
      <w:rFonts w:cs="Times New Roman"/>
    </w:rPr>
  </w:style>
  <w:style w:type="paragraph" w:styleId="ListParagraph">
    <w:name w:val="List Paragraph"/>
    <w:basedOn w:val="Normal"/>
    <w:uiPriority w:val="34"/>
    <w:qFormat/>
    <w:rsid w:val="00343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adost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esetweb.eu/wp-content/uploads/NESET_AHQ2_2019_Market-reforms-in-the-Hungarian-school-system_Impact-of-changes-in-the-ownership-structure.pdf?fbclid=IwAR0lIhoTaU7Ec2locxI6k17O2uo-qnX7eSKkWgGwjGHLPJ897JkUYuvokyQ" TargetMode="External"/><Relationship Id="rId4" Type="http://schemas.openxmlformats.org/officeDocument/2006/relationships/webSettings" Target="webSettings.xml"/><Relationship Id="rId9" Type="http://schemas.openxmlformats.org/officeDocument/2006/relationships/hyperlink" Target="http://www.iskolakultura.hu/index.php/iskolakultura/article/view/32764/322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17341</Characters>
  <Application>Microsoft Office Word</Application>
  <DocSecurity>0</DocSecurity>
  <Lines>144</Lines>
  <Paragraphs>40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Europass</vt:lpstr>
      <vt:lpstr>Europass</vt:lpstr>
    </vt:vector>
  </TitlesOfParts>
  <Company>CEDEFOP</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creator>PHT</dc:creator>
  <cp:lastModifiedBy>CEU</cp:lastModifiedBy>
  <cp:revision>2</cp:revision>
  <cp:lastPrinted>2005-01-21T14:35:00Z</cp:lastPrinted>
  <dcterms:created xsi:type="dcterms:W3CDTF">2019-09-04T12:19:00Z</dcterms:created>
  <dcterms:modified xsi:type="dcterms:W3CDTF">2019-09-04T12:19:00Z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1485847969</vt:i4>
  </property>
  <property fmtid="{D5CDD505-2E9C-101B-9397-08002B2CF9AE}" pid="3" name="_NewReviewCycle">
    <vt:lpwstr/>
  </property>
  <property fmtid="{D5CDD505-2E9C-101B-9397-08002B2CF9AE}" pid="4" name="_EmailSubject">
    <vt:lpwstr>GDN regional workshop in Budapest: room and expert</vt:lpwstr>
  </property>
  <property fmtid="{D5CDD505-2E9C-101B-9397-08002B2CF9AE}" pid="5" name="_AuthorEmail">
    <vt:lpwstr>KZVarga@osi.hu</vt:lpwstr>
  </property>
  <property fmtid="{D5CDD505-2E9C-101B-9397-08002B2CF9AE}" pid="6" name="_AuthorEmailDisplayName">
    <vt:lpwstr>Kristof Zoltan Varga</vt:lpwstr>
  </property>
  <property fmtid="{D5CDD505-2E9C-101B-9397-08002B2CF9AE}" pid="7" name="_ReviewingToolsShownOnce">
    <vt:lpwstr/>
  </property>
</Properties>
</file>